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聊城市重点研发计划“揭榜制”“组阁制”</w:t>
      </w:r>
    </w:p>
    <w:p>
      <w:pPr>
        <w:spacing w:line="700" w:lineRule="exact"/>
        <w:jc w:val="center"/>
        <w:rPr>
          <w:rFonts w:ascii="仿宋_GB2312" w:hAnsi="仿宋_GB2312" w:eastAsia="仿宋_GB2312" w:cs="仿宋_GB2312"/>
          <w:bCs/>
          <w:sz w:val="32"/>
          <w:szCs w:val="32"/>
        </w:rPr>
      </w:pPr>
      <w:r>
        <w:rPr>
          <w:rFonts w:hint="eastAsia" w:ascii="方正小标宋简体" w:hAnsi="方正小标宋简体" w:eastAsia="方正小标宋简体" w:cs="方正小标宋简体"/>
          <w:bCs/>
          <w:sz w:val="44"/>
          <w:szCs w:val="44"/>
        </w:rPr>
        <w:t>项目需求表2（科技成果转化类）</w:t>
      </w:r>
    </w:p>
    <w:tbl>
      <w:tblPr>
        <w:tblStyle w:val="7"/>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9"/>
        <w:gridCol w:w="842"/>
        <w:gridCol w:w="663"/>
        <w:gridCol w:w="223"/>
        <w:gridCol w:w="631"/>
        <w:gridCol w:w="219"/>
        <w:gridCol w:w="851"/>
        <w:gridCol w:w="320"/>
        <w:gridCol w:w="145"/>
        <w:gridCol w:w="385"/>
        <w:gridCol w:w="928"/>
        <w:gridCol w:w="65"/>
        <w:gridCol w:w="499"/>
        <w:gridCol w:w="239"/>
        <w:gridCol w:w="112"/>
        <w:gridCol w:w="425"/>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8976" w:type="dxa"/>
            <w:gridSpan w:val="17"/>
            <w:vAlign w:val="center"/>
          </w:tcPr>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技术供给单位</w:t>
            </w:r>
            <w:r>
              <w:rPr>
                <w:rFonts w:hint="eastAsia" w:ascii="仿宋_GB2312" w:hAnsi="仿宋_GB2312" w:eastAsia="仿宋_GB2312" w:cs="仿宋_GB2312"/>
                <w:b/>
                <w:sz w:val="32"/>
                <w:szCs w:val="32"/>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671" w:type="dxa"/>
            <w:gridSpan w:val="2"/>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w:t>
            </w:r>
          </w:p>
        </w:tc>
        <w:tc>
          <w:tcPr>
            <w:tcW w:w="7305" w:type="dxa"/>
            <w:gridSpan w:val="15"/>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有研资源环境技术研究院（北京）有限公司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jc w:val="center"/>
        </w:trPr>
        <w:tc>
          <w:tcPr>
            <w:tcW w:w="1671" w:type="dxa"/>
            <w:gridSpan w:val="2"/>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注册时间</w:t>
            </w:r>
          </w:p>
        </w:tc>
        <w:tc>
          <w:tcPr>
            <w:tcW w:w="1517" w:type="dxa"/>
            <w:gridSpan w:val="3"/>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2019</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rPr>
              <w:t>26</w:t>
            </w:r>
            <w:r>
              <w:rPr>
                <w:rFonts w:hint="eastAsia" w:ascii="仿宋_GB2312" w:hAnsi="仿宋_GB2312" w:eastAsia="仿宋_GB2312" w:cs="仿宋_GB2312"/>
                <w:sz w:val="28"/>
                <w:szCs w:val="28"/>
                <w:lang w:val="en-US" w:eastAsia="zh-CN"/>
              </w:rPr>
              <w:t>日</w:t>
            </w:r>
          </w:p>
        </w:tc>
        <w:tc>
          <w:tcPr>
            <w:tcW w:w="1390" w:type="dxa"/>
            <w:gridSpan w:val="3"/>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注册地</w:t>
            </w:r>
          </w:p>
        </w:tc>
        <w:tc>
          <w:tcPr>
            <w:tcW w:w="1458" w:type="dxa"/>
            <w:gridSpan w:val="3"/>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北京市怀柔区雁栖经济开发区兴科东大街11号</w:t>
            </w:r>
          </w:p>
        </w:tc>
        <w:tc>
          <w:tcPr>
            <w:tcW w:w="1340" w:type="dxa"/>
            <w:gridSpan w:val="5"/>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注册资金</w:t>
            </w:r>
          </w:p>
        </w:tc>
        <w:tc>
          <w:tcPr>
            <w:tcW w:w="1600"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jc w:val="center"/>
        </w:trPr>
        <w:tc>
          <w:tcPr>
            <w:tcW w:w="1671" w:type="dxa"/>
            <w:gridSpan w:val="2"/>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所属产业</w:t>
            </w:r>
          </w:p>
        </w:tc>
        <w:tc>
          <w:tcPr>
            <w:tcW w:w="1517" w:type="dxa"/>
            <w:gridSpan w:val="3"/>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工程和技术研究与试验发展</w:t>
            </w:r>
          </w:p>
        </w:tc>
        <w:tc>
          <w:tcPr>
            <w:tcW w:w="1390" w:type="dxa"/>
            <w:gridSpan w:val="3"/>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技术领域</w:t>
            </w:r>
          </w:p>
        </w:tc>
        <w:tc>
          <w:tcPr>
            <w:tcW w:w="1458" w:type="dxa"/>
            <w:gridSpan w:val="3"/>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新材料技术领域</w:t>
            </w:r>
          </w:p>
        </w:tc>
        <w:tc>
          <w:tcPr>
            <w:tcW w:w="1340" w:type="dxa"/>
            <w:gridSpan w:val="5"/>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主营业务</w:t>
            </w:r>
          </w:p>
        </w:tc>
        <w:tc>
          <w:tcPr>
            <w:tcW w:w="160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光学镀膜材料，功能陶瓷靶材，核用材料与高纯金属，有色金属绿色选冶技术，污染治理与生态修复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671" w:type="dxa"/>
            <w:gridSpan w:val="2"/>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单位总人数</w:t>
            </w:r>
          </w:p>
        </w:tc>
        <w:tc>
          <w:tcPr>
            <w:tcW w:w="1517" w:type="dxa"/>
            <w:gridSpan w:val="3"/>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132</w:t>
            </w:r>
          </w:p>
        </w:tc>
        <w:tc>
          <w:tcPr>
            <w:tcW w:w="1390" w:type="dxa"/>
            <w:gridSpan w:val="3"/>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本科以上</w:t>
            </w:r>
          </w:p>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人数</w:t>
            </w:r>
          </w:p>
        </w:tc>
        <w:tc>
          <w:tcPr>
            <w:tcW w:w="1458" w:type="dxa"/>
            <w:gridSpan w:val="3"/>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88</w:t>
            </w:r>
          </w:p>
        </w:tc>
        <w:tc>
          <w:tcPr>
            <w:tcW w:w="1340" w:type="dxa"/>
            <w:gridSpan w:val="5"/>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高级职称</w:t>
            </w:r>
          </w:p>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人数</w:t>
            </w:r>
          </w:p>
        </w:tc>
        <w:tc>
          <w:tcPr>
            <w:tcW w:w="1600"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jc w:val="center"/>
        </w:trPr>
        <w:tc>
          <w:tcPr>
            <w:tcW w:w="1671" w:type="dxa"/>
            <w:gridSpan w:val="2"/>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企业性质</w:t>
            </w:r>
          </w:p>
        </w:tc>
        <w:tc>
          <w:tcPr>
            <w:tcW w:w="7305" w:type="dxa"/>
            <w:gridSpan w:val="15"/>
            <w:vAlign w:val="center"/>
          </w:tcPr>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√国有    ○集体    ○民营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1671" w:type="dxa"/>
            <w:gridSpan w:val="2"/>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tc>
        <w:tc>
          <w:tcPr>
            <w:tcW w:w="1517" w:type="dxa"/>
            <w:gridSpan w:val="3"/>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535" w:type="dxa"/>
            <w:gridSpan w:val="4"/>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刘营</w:t>
            </w:r>
          </w:p>
        </w:tc>
        <w:tc>
          <w:tcPr>
            <w:tcW w:w="1877" w:type="dxa"/>
            <w:gridSpan w:val="4"/>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2376" w:type="dxa"/>
            <w:gridSpan w:val="4"/>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1" w:hRule="atLeast"/>
          <w:jc w:val="center"/>
        </w:trPr>
        <w:tc>
          <w:tcPr>
            <w:tcW w:w="1671" w:type="dxa"/>
            <w:gridSpan w:val="2"/>
            <w:vMerge w:val="restar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联系人</w:t>
            </w:r>
          </w:p>
        </w:tc>
        <w:tc>
          <w:tcPr>
            <w:tcW w:w="1517" w:type="dxa"/>
            <w:gridSpan w:val="3"/>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535" w:type="dxa"/>
            <w:gridSpan w:val="4"/>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胡志方</w:t>
            </w:r>
          </w:p>
        </w:tc>
        <w:tc>
          <w:tcPr>
            <w:tcW w:w="1877" w:type="dxa"/>
            <w:gridSpan w:val="4"/>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2376" w:type="dxa"/>
            <w:gridSpan w:val="4"/>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科创部副经理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7" w:hRule="atLeast"/>
          <w:jc w:val="center"/>
        </w:trPr>
        <w:tc>
          <w:tcPr>
            <w:tcW w:w="1671" w:type="dxa"/>
            <w:gridSpan w:val="2"/>
            <w:vMerge w:val="continue"/>
            <w:vAlign w:val="center"/>
          </w:tcPr>
          <w:p>
            <w:pPr>
              <w:jc w:val="center"/>
              <w:rPr>
                <w:rFonts w:ascii="仿宋_GB2312" w:hAnsi="仿宋_GB2312" w:eastAsia="仿宋_GB2312" w:cs="仿宋_GB2312"/>
                <w:sz w:val="28"/>
                <w:szCs w:val="28"/>
              </w:rPr>
            </w:pPr>
          </w:p>
        </w:tc>
        <w:tc>
          <w:tcPr>
            <w:tcW w:w="1517" w:type="dxa"/>
            <w:gridSpan w:val="3"/>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手机</w:t>
            </w:r>
          </w:p>
        </w:tc>
        <w:tc>
          <w:tcPr>
            <w:tcW w:w="1535" w:type="dxa"/>
            <w:gridSpan w:val="4"/>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18801127880</w:t>
            </w:r>
          </w:p>
        </w:tc>
        <w:tc>
          <w:tcPr>
            <w:tcW w:w="1877" w:type="dxa"/>
            <w:gridSpan w:val="4"/>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邮箱</w:t>
            </w:r>
          </w:p>
        </w:tc>
        <w:tc>
          <w:tcPr>
            <w:tcW w:w="2376" w:type="dxa"/>
            <w:gridSpan w:val="4"/>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Huzhifang@grinm.com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29" w:type="dxa"/>
            <w:vMerge w:val="restart"/>
            <w:vAlign w:val="center"/>
          </w:tcPr>
          <w:p>
            <w:pPr>
              <w:jc w:val="center"/>
              <w:rPr>
                <w:rFonts w:asciiTheme="minorEastAsia" w:hAnsiTheme="minorEastAsia" w:cstheme="minorEastAsia"/>
                <w:bCs/>
                <w:sz w:val="24"/>
              </w:rPr>
            </w:pPr>
            <w:r>
              <w:rPr>
                <w:rFonts w:hint="eastAsia" w:asciiTheme="minorEastAsia" w:hAnsiTheme="minorEastAsia" w:cstheme="minorEastAsia"/>
                <w:bCs/>
                <w:sz w:val="24"/>
              </w:rPr>
              <w:t>财务</w:t>
            </w:r>
          </w:p>
          <w:p>
            <w:pPr>
              <w:jc w:val="center"/>
              <w:rPr>
                <w:rFonts w:asciiTheme="minorEastAsia" w:hAnsiTheme="minorEastAsia" w:cstheme="minorEastAsia"/>
                <w:bCs/>
                <w:sz w:val="24"/>
              </w:rPr>
            </w:pPr>
            <w:r>
              <w:rPr>
                <w:rFonts w:hint="eastAsia" w:asciiTheme="minorEastAsia" w:hAnsiTheme="minorEastAsia" w:cstheme="minorEastAsia"/>
                <w:bCs/>
                <w:sz w:val="24"/>
              </w:rPr>
              <w:t>状况</w:t>
            </w:r>
          </w:p>
          <w:p>
            <w:pPr>
              <w:jc w:val="center"/>
              <w:rPr>
                <w:rFonts w:asciiTheme="minorEastAsia" w:hAnsiTheme="minorEastAsia" w:cstheme="minorEastAsia"/>
                <w:b/>
                <w:sz w:val="24"/>
              </w:rPr>
            </w:pPr>
            <w:r>
              <w:rPr>
                <w:rFonts w:hint="eastAsia" w:asciiTheme="minorEastAsia" w:hAnsiTheme="minorEastAsia" w:cstheme="minorEastAsia"/>
                <w:bCs/>
                <w:sz w:val="24"/>
              </w:rPr>
              <w:t>(万元)</w:t>
            </w:r>
          </w:p>
        </w:tc>
        <w:tc>
          <w:tcPr>
            <w:tcW w:w="842" w:type="dxa"/>
            <w:vAlign w:val="center"/>
          </w:tcPr>
          <w:p>
            <w:pPr>
              <w:jc w:val="center"/>
              <w:rPr>
                <w:rFonts w:asciiTheme="minorEastAsia" w:hAnsiTheme="minorEastAsia" w:cstheme="minorEastAsia"/>
                <w:bCs/>
                <w:sz w:val="24"/>
              </w:rPr>
            </w:pPr>
            <w:r>
              <w:rPr>
                <w:rFonts w:hint="eastAsia" w:asciiTheme="minorEastAsia" w:hAnsiTheme="minorEastAsia" w:cstheme="minorEastAsia"/>
                <w:bCs/>
                <w:sz w:val="24"/>
              </w:rPr>
              <w:t>年份</w:t>
            </w:r>
          </w:p>
        </w:tc>
        <w:tc>
          <w:tcPr>
            <w:tcW w:w="886" w:type="dxa"/>
            <w:gridSpan w:val="2"/>
            <w:vAlign w:val="center"/>
          </w:tcPr>
          <w:p>
            <w:pPr>
              <w:spacing w:line="380" w:lineRule="exact"/>
              <w:jc w:val="center"/>
              <w:rPr>
                <w:rFonts w:asciiTheme="minorEastAsia" w:hAnsiTheme="minorEastAsia" w:cstheme="minorEastAsia"/>
                <w:sz w:val="24"/>
              </w:rPr>
            </w:pPr>
            <w:r>
              <w:rPr>
                <w:rFonts w:hint="eastAsia" w:asciiTheme="minorEastAsia" w:hAnsiTheme="minorEastAsia" w:cstheme="minorEastAsia"/>
                <w:sz w:val="24"/>
              </w:rPr>
              <w:t>总收入</w:t>
            </w:r>
          </w:p>
        </w:tc>
        <w:tc>
          <w:tcPr>
            <w:tcW w:w="850" w:type="dxa"/>
            <w:gridSpan w:val="2"/>
            <w:vAlign w:val="center"/>
          </w:tcPr>
          <w:p>
            <w:pPr>
              <w:spacing w:line="380" w:lineRule="exact"/>
              <w:jc w:val="center"/>
              <w:rPr>
                <w:rFonts w:asciiTheme="minorEastAsia" w:hAnsiTheme="minorEastAsia" w:cstheme="minorEastAsia"/>
                <w:sz w:val="24"/>
              </w:rPr>
            </w:pPr>
            <w:r>
              <w:rPr>
                <w:rFonts w:hint="eastAsia" w:asciiTheme="minorEastAsia" w:hAnsiTheme="minorEastAsia" w:cstheme="minorEastAsia"/>
                <w:sz w:val="24"/>
              </w:rPr>
              <w:t>年产值</w:t>
            </w:r>
          </w:p>
        </w:tc>
        <w:tc>
          <w:tcPr>
            <w:tcW w:w="851" w:type="dxa"/>
            <w:vAlign w:val="center"/>
          </w:tcPr>
          <w:p>
            <w:pPr>
              <w:spacing w:line="380" w:lineRule="exact"/>
              <w:jc w:val="center"/>
              <w:rPr>
                <w:rFonts w:asciiTheme="minorEastAsia" w:hAnsiTheme="minorEastAsia" w:cstheme="minorEastAsia"/>
                <w:sz w:val="24"/>
              </w:rPr>
            </w:pPr>
            <w:r>
              <w:rPr>
                <w:rFonts w:hint="eastAsia" w:asciiTheme="minorEastAsia" w:hAnsiTheme="minorEastAsia" w:cstheme="minorEastAsia"/>
                <w:sz w:val="24"/>
              </w:rPr>
              <w:t>年销</w:t>
            </w:r>
          </w:p>
          <w:p>
            <w:pPr>
              <w:spacing w:line="380" w:lineRule="exact"/>
              <w:jc w:val="center"/>
              <w:rPr>
                <w:rFonts w:asciiTheme="minorEastAsia" w:hAnsiTheme="minorEastAsia" w:cstheme="minorEastAsia"/>
                <w:sz w:val="24"/>
              </w:rPr>
            </w:pPr>
            <w:r>
              <w:rPr>
                <w:rFonts w:hint="eastAsia" w:asciiTheme="minorEastAsia" w:hAnsiTheme="minorEastAsia" w:cstheme="minorEastAsia"/>
                <w:sz w:val="24"/>
              </w:rPr>
              <w:t>售额</w:t>
            </w:r>
          </w:p>
        </w:tc>
        <w:tc>
          <w:tcPr>
            <w:tcW w:w="850" w:type="dxa"/>
            <w:gridSpan w:val="3"/>
            <w:vAlign w:val="center"/>
          </w:tcPr>
          <w:p>
            <w:pPr>
              <w:spacing w:line="380" w:lineRule="exact"/>
              <w:jc w:val="center"/>
              <w:rPr>
                <w:rFonts w:asciiTheme="minorEastAsia" w:hAnsiTheme="minorEastAsia" w:cstheme="minorEastAsia"/>
                <w:sz w:val="24"/>
              </w:rPr>
            </w:pPr>
            <w:r>
              <w:rPr>
                <w:rFonts w:hint="eastAsia" w:asciiTheme="minorEastAsia" w:hAnsiTheme="minorEastAsia" w:cstheme="minorEastAsia"/>
                <w:sz w:val="24"/>
              </w:rPr>
              <w:t>年利税</w:t>
            </w:r>
          </w:p>
        </w:tc>
        <w:tc>
          <w:tcPr>
            <w:tcW w:w="993" w:type="dxa"/>
            <w:gridSpan w:val="2"/>
            <w:vAlign w:val="center"/>
          </w:tcPr>
          <w:p>
            <w:pPr>
              <w:spacing w:line="380" w:lineRule="exact"/>
              <w:jc w:val="center"/>
              <w:rPr>
                <w:rFonts w:asciiTheme="minorEastAsia" w:hAnsiTheme="minorEastAsia" w:cstheme="minorEastAsia"/>
                <w:sz w:val="24"/>
              </w:rPr>
            </w:pPr>
            <w:r>
              <w:rPr>
                <w:rFonts w:hint="eastAsia" w:asciiTheme="minorEastAsia" w:hAnsiTheme="minorEastAsia" w:cstheme="minorEastAsia"/>
                <w:sz w:val="24"/>
              </w:rPr>
              <w:t>年净</w:t>
            </w:r>
          </w:p>
          <w:p>
            <w:pPr>
              <w:spacing w:line="380" w:lineRule="exact"/>
              <w:jc w:val="center"/>
              <w:rPr>
                <w:rFonts w:asciiTheme="minorEastAsia" w:hAnsiTheme="minorEastAsia" w:cstheme="minorEastAsia"/>
                <w:sz w:val="24"/>
              </w:rPr>
            </w:pPr>
            <w:r>
              <w:rPr>
                <w:rFonts w:hint="eastAsia" w:asciiTheme="minorEastAsia" w:hAnsiTheme="minorEastAsia" w:cstheme="minorEastAsia"/>
                <w:sz w:val="24"/>
              </w:rPr>
              <w:t>利润</w:t>
            </w:r>
          </w:p>
        </w:tc>
        <w:tc>
          <w:tcPr>
            <w:tcW w:w="850" w:type="dxa"/>
            <w:gridSpan w:val="3"/>
            <w:vAlign w:val="center"/>
          </w:tcPr>
          <w:p>
            <w:pPr>
              <w:spacing w:line="380" w:lineRule="exact"/>
              <w:jc w:val="center"/>
              <w:rPr>
                <w:rFonts w:asciiTheme="minorEastAsia" w:hAnsiTheme="minorEastAsia" w:cstheme="minorEastAsia"/>
                <w:sz w:val="24"/>
              </w:rPr>
            </w:pPr>
            <w:r>
              <w:rPr>
                <w:rFonts w:hint="eastAsia" w:asciiTheme="minorEastAsia" w:hAnsiTheme="minorEastAsia" w:cstheme="minorEastAsia"/>
                <w:sz w:val="24"/>
              </w:rPr>
              <w:t>研发</w:t>
            </w:r>
          </w:p>
          <w:p>
            <w:pPr>
              <w:spacing w:line="380" w:lineRule="exact"/>
              <w:jc w:val="center"/>
              <w:rPr>
                <w:rFonts w:asciiTheme="minorEastAsia" w:hAnsiTheme="minorEastAsia" w:cstheme="minorEastAsia"/>
                <w:sz w:val="24"/>
              </w:rPr>
            </w:pPr>
            <w:r>
              <w:rPr>
                <w:rFonts w:hint="eastAsia" w:asciiTheme="minorEastAsia" w:hAnsiTheme="minorEastAsia" w:cstheme="minorEastAsia"/>
                <w:sz w:val="24"/>
              </w:rPr>
              <w:t>经费</w:t>
            </w:r>
          </w:p>
        </w:tc>
        <w:tc>
          <w:tcPr>
            <w:tcW w:w="2025" w:type="dxa"/>
            <w:gridSpan w:val="2"/>
            <w:vAlign w:val="center"/>
          </w:tcPr>
          <w:p>
            <w:pPr>
              <w:spacing w:line="340" w:lineRule="exact"/>
              <w:jc w:val="center"/>
              <w:rPr>
                <w:rFonts w:asciiTheme="minorEastAsia" w:hAnsiTheme="minorEastAsia" w:cstheme="minorEastAsia"/>
                <w:sz w:val="24"/>
              </w:rPr>
            </w:pPr>
            <w:r>
              <w:rPr>
                <w:rFonts w:hint="eastAsia" w:asciiTheme="minorEastAsia" w:hAnsiTheme="minorEastAsia" w:cstheme="minorEastAsia"/>
                <w:sz w:val="24"/>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829" w:type="dxa"/>
            <w:vMerge w:val="continue"/>
            <w:vAlign w:val="center"/>
          </w:tcPr>
          <w:p>
            <w:pPr>
              <w:jc w:val="center"/>
              <w:rPr>
                <w:rFonts w:asciiTheme="minorEastAsia" w:hAnsiTheme="minorEastAsia" w:cstheme="minorEastAsia"/>
                <w:b/>
                <w:sz w:val="24"/>
              </w:rPr>
            </w:pPr>
          </w:p>
        </w:tc>
        <w:tc>
          <w:tcPr>
            <w:tcW w:w="842" w:type="dxa"/>
            <w:vAlign w:val="center"/>
          </w:tcPr>
          <w:p>
            <w:pPr>
              <w:jc w:val="center"/>
              <w:rPr>
                <w:rFonts w:asciiTheme="minorEastAsia" w:hAnsiTheme="minorEastAsia" w:cstheme="minorEastAsia"/>
                <w:bCs/>
                <w:sz w:val="24"/>
              </w:rPr>
            </w:pPr>
            <w:r>
              <w:rPr>
                <w:rFonts w:hint="eastAsia" w:asciiTheme="minorEastAsia" w:hAnsiTheme="minorEastAsia" w:cstheme="minorEastAsia"/>
                <w:bCs/>
                <w:sz w:val="24"/>
              </w:rPr>
              <w:t>2020</w:t>
            </w:r>
          </w:p>
        </w:tc>
        <w:tc>
          <w:tcPr>
            <w:tcW w:w="886" w:type="dxa"/>
            <w:gridSpan w:val="2"/>
            <w:vAlign w:val="center"/>
          </w:tcPr>
          <w:p>
            <w:pPr>
              <w:jc w:val="right"/>
              <w:rPr>
                <w:rFonts w:asciiTheme="minorEastAsia" w:hAnsiTheme="minorEastAsia" w:cstheme="minorEastAsia"/>
                <w:sz w:val="18"/>
                <w:szCs w:val="18"/>
              </w:rPr>
            </w:pPr>
            <w:r>
              <w:rPr>
                <w:rFonts w:hint="eastAsia" w:asciiTheme="minorEastAsia" w:hAnsiTheme="minorEastAsia" w:cstheme="minorEastAsia"/>
                <w:sz w:val="18"/>
                <w:szCs w:val="18"/>
              </w:rPr>
              <w:t>11817万元</w:t>
            </w:r>
          </w:p>
        </w:tc>
        <w:tc>
          <w:tcPr>
            <w:tcW w:w="850" w:type="dxa"/>
            <w:gridSpan w:val="2"/>
            <w:vAlign w:val="center"/>
          </w:tcPr>
          <w:p>
            <w:pPr>
              <w:jc w:val="right"/>
              <w:rPr>
                <w:rFonts w:asciiTheme="minorEastAsia" w:hAnsiTheme="minorEastAsia" w:cstheme="minorEastAsia"/>
                <w:sz w:val="18"/>
                <w:szCs w:val="18"/>
              </w:rPr>
            </w:pPr>
          </w:p>
        </w:tc>
        <w:tc>
          <w:tcPr>
            <w:tcW w:w="851" w:type="dxa"/>
            <w:vAlign w:val="center"/>
          </w:tcPr>
          <w:p>
            <w:pPr>
              <w:jc w:val="right"/>
              <w:rPr>
                <w:rFonts w:asciiTheme="minorEastAsia" w:hAnsiTheme="minorEastAsia" w:cstheme="minorEastAsia"/>
                <w:sz w:val="18"/>
                <w:szCs w:val="18"/>
              </w:rPr>
            </w:pPr>
            <w:r>
              <w:rPr>
                <w:rFonts w:hint="eastAsia" w:asciiTheme="minorEastAsia" w:hAnsiTheme="minorEastAsia" w:cstheme="minorEastAsia"/>
                <w:sz w:val="18"/>
                <w:szCs w:val="18"/>
              </w:rPr>
              <w:t>11817万元</w:t>
            </w:r>
          </w:p>
        </w:tc>
        <w:tc>
          <w:tcPr>
            <w:tcW w:w="850" w:type="dxa"/>
            <w:gridSpan w:val="3"/>
            <w:vAlign w:val="center"/>
          </w:tcPr>
          <w:p>
            <w:pPr>
              <w:jc w:val="right"/>
              <w:rPr>
                <w:rFonts w:asciiTheme="minorEastAsia" w:hAnsiTheme="minorEastAsia" w:cstheme="minorEastAsia"/>
                <w:sz w:val="18"/>
                <w:szCs w:val="18"/>
              </w:rPr>
            </w:pPr>
            <w:r>
              <w:rPr>
                <w:rFonts w:hint="eastAsia" w:asciiTheme="minorEastAsia" w:hAnsiTheme="minorEastAsia" w:cstheme="minorEastAsia"/>
                <w:sz w:val="18"/>
                <w:szCs w:val="18"/>
              </w:rPr>
              <w:t>346万元</w:t>
            </w:r>
          </w:p>
        </w:tc>
        <w:tc>
          <w:tcPr>
            <w:tcW w:w="993" w:type="dxa"/>
            <w:gridSpan w:val="2"/>
            <w:vAlign w:val="center"/>
          </w:tcPr>
          <w:p>
            <w:pPr>
              <w:jc w:val="right"/>
              <w:rPr>
                <w:rFonts w:asciiTheme="minorEastAsia" w:hAnsiTheme="minorEastAsia" w:cstheme="minorEastAsia"/>
                <w:sz w:val="18"/>
                <w:szCs w:val="18"/>
              </w:rPr>
            </w:pPr>
            <w:r>
              <w:rPr>
                <w:rFonts w:hint="eastAsia" w:asciiTheme="minorEastAsia" w:hAnsiTheme="minorEastAsia" w:cstheme="minorEastAsia"/>
                <w:sz w:val="18"/>
                <w:szCs w:val="18"/>
              </w:rPr>
              <w:t>521万元</w:t>
            </w:r>
          </w:p>
        </w:tc>
        <w:tc>
          <w:tcPr>
            <w:tcW w:w="850" w:type="dxa"/>
            <w:gridSpan w:val="3"/>
            <w:vAlign w:val="center"/>
          </w:tcPr>
          <w:p>
            <w:pPr>
              <w:jc w:val="right"/>
              <w:rPr>
                <w:rFonts w:asciiTheme="minorEastAsia" w:hAnsiTheme="minorEastAsia" w:cstheme="minorEastAsia"/>
                <w:sz w:val="18"/>
                <w:szCs w:val="18"/>
              </w:rPr>
            </w:pPr>
            <w:r>
              <w:rPr>
                <w:rFonts w:hint="eastAsia" w:asciiTheme="minorEastAsia" w:hAnsiTheme="minorEastAsia" w:cstheme="minorEastAsia"/>
                <w:sz w:val="18"/>
                <w:szCs w:val="18"/>
              </w:rPr>
              <w:t>268万元</w:t>
            </w:r>
          </w:p>
        </w:tc>
        <w:tc>
          <w:tcPr>
            <w:tcW w:w="2025" w:type="dxa"/>
            <w:gridSpan w:val="2"/>
            <w:vAlign w:val="center"/>
          </w:tcPr>
          <w:p>
            <w:pPr>
              <w:jc w:val="right"/>
              <w:rPr>
                <w:rFonts w:asciiTheme="minorEastAsia" w:hAnsiTheme="minorEastAsia" w:cstheme="minorEastAsia"/>
                <w:sz w:val="18"/>
                <w:szCs w:val="18"/>
              </w:rPr>
            </w:pPr>
            <w:r>
              <w:rPr>
                <w:rFonts w:hint="eastAsia" w:asciiTheme="minorEastAsia" w:hAnsiTheme="minorEastAsia" w:cstheme="minorEastAsia"/>
                <w:sz w:val="18"/>
                <w:szCs w:val="18"/>
              </w:rPr>
              <w:t>20.37%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829" w:type="dxa"/>
            <w:vMerge w:val="continue"/>
            <w:vAlign w:val="center"/>
          </w:tcPr>
          <w:p>
            <w:pPr>
              <w:jc w:val="center"/>
              <w:rPr>
                <w:rFonts w:asciiTheme="minorEastAsia" w:hAnsiTheme="minorEastAsia" w:cstheme="minorEastAsia"/>
                <w:b/>
                <w:sz w:val="24"/>
              </w:rPr>
            </w:pPr>
          </w:p>
        </w:tc>
        <w:tc>
          <w:tcPr>
            <w:tcW w:w="842" w:type="dxa"/>
            <w:vAlign w:val="center"/>
          </w:tcPr>
          <w:p>
            <w:pPr>
              <w:jc w:val="center"/>
              <w:rPr>
                <w:rFonts w:asciiTheme="minorEastAsia" w:hAnsiTheme="minorEastAsia" w:cstheme="minorEastAsia"/>
                <w:bCs/>
                <w:sz w:val="24"/>
              </w:rPr>
            </w:pPr>
            <w:r>
              <w:rPr>
                <w:rFonts w:hint="eastAsia" w:asciiTheme="minorEastAsia" w:hAnsiTheme="minorEastAsia" w:cstheme="minorEastAsia"/>
                <w:bCs/>
                <w:sz w:val="24"/>
              </w:rPr>
              <w:t>2019</w:t>
            </w:r>
          </w:p>
        </w:tc>
        <w:tc>
          <w:tcPr>
            <w:tcW w:w="886" w:type="dxa"/>
            <w:gridSpan w:val="2"/>
            <w:vAlign w:val="center"/>
          </w:tcPr>
          <w:p>
            <w:pPr>
              <w:jc w:val="right"/>
              <w:rPr>
                <w:rFonts w:asciiTheme="minorEastAsia" w:hAnsiTheme="minorEastAsia" w:cstheme="minorEastAsia"/>
                <w:sz w:val="18"/>
                <w:szCs w:val="18"/>
              </w:rPr>
            </w:pPr>
            <w:r>
              <w:rPr>
                <w:rFonts w:hint="eastAsia" w:asciiTheme="minorEastAsia" w:hAnsiTheme="minorEastAsia" w:cstheme="minorEastAsia"/>
                <w:sz w:val="18"/>
                <w:szCs w:val="18"/>
              </w:rPr>
              <w:t>2788万元</w:t>
            </w:r>
          </w:p>
        </w:tc>
        <w:tc>
          <w:tcPr>
            <w:tcW w:w="850" w:type="dxa"/>
            <w:gridSpan w:val="2"/>
            <w:vAlign w:val="center"/>
          </w:tcPr>
          <w:p>
            <w:pPr>
              <w:jc w:val="right"/>
              <w:rPr>
                <w:rFonts w:asciiTheme="minorEastAsia" w:hAnsiTheme="minorEastAsia" w:cstheme="minorEastAsia"/>
                <w:sz w:val="18"/>
                <w:szCs w:val="18"/>
              </w:rPr>
            </w:pPr>
          </w:p>
        </w:tc>
        <w:tc>
          <w:tcPr>
            <w:tcW w:w="851" w:type="dxa"/>
            <w:vAlign w:val="center"/>
          </w:tcPr>
          <w:p>
            <w:pPr>
              <w:jc w:val="right"/>
              <w:rPr>
                <w:rFonts w:asciiTheme="minorEastAsia" w:hAnsiTheme="minorEastAsia" w:cstheme="minorEastAsia"/>
                <w:sz w:val="18"/>
                <w:szCs w:val="18"/>
              </w:rPr>
            </w:pPr>
            <w:r>
              <w:rPr>
                <w:rFonts w:hint="eastAsia" w:asciiTheme="minorEastAsia" w:hAnsiTheme="minorEastAsia" w:cstheme="minorEastAsia"/>
                <w:sz w:val="18"/>
                <w:szCs w:val="18"/>
              </w:rPr>
              <w:t>2788万元</w:t>
            </w:r>
          </w:p>
        </w:tc>
        <w:tc>
          <w:tcPr>
            <w:tcW w:w="850" w:type="dxa"/>
            <w:gridSpan w:val="3"/>
            <w:vAlign w:val="center"/>
          </w:tcPr>
          <w:p>
            <w:pPr>
              <w:jc w:val="right"/>
              <w:rPr>
                <w:rFonts w:asciiTheme="minorEastAsia" w:hAnsiTheme="minorEastAsia" w:cstheme="minorEastAsia"/>
                <w:sz w:val="18"/>
                <w:szCs w:val="18"/>
              </w:rPr>
            </w:pPr>
            <w:r>
              <w:rPr>
                <w:rFonts w:hint="eastAsia" w:asciiTheme="minorEastAsia" w:hAnsiTheme="minorEastAsia" w:cstheme="minorEastAsia"/>
                <w:sz w:val="18"/>
                <w:szCs w:val="18"/>
              </w:rPr>
              <w:t>21万元</w:t>
            </w:r>
          </w:p>
        </w:tc>
        <w:tc>
          <w:tcPr>
            <w:tcW w:w="993" w:type="dxa"/>
            <w:gridSpan w:val="2"/>
            <w:vAlign w:val="center"/>
          </w:tcPr>
          <w:p>
            <w:pPr>
              <w:jc w:val="right"/>
              <w:rPr>
                <w:rFonts w:asciiTheme="minorEastAsia" w:hAnsiTheme="minorEastAsia" w:cstheme="minorEastAsia"/>
                <w:sz w:val="18"/>
                <w:szCs w:val="18"/>
              </w:rPr>
            </w:pPr>
            <w:r>
              <w:rPr>
                <w:rFonts w:hint="eastAsia" w:asciiTheme="minorEastAsia" w:hAnsiTheme="minorEastAsia" w:cstheme="minorEastAsia"/>
                <w:sz w:val="18"/>
                <w:szCs w:val="18"/>
              </w:rPr>
              <w:t>181万元</w:t>
            </w:r>
          </w:p>
        </w:tc>
        <w:tc>
          <w:tcPr>
            <w:tcW w:w="850" w:type="dxa"/>
            <w:gridSpan w:val="3"/>
            <w:vAlign w:val="center"/>
          </w:tcPr>
          <w:p>
            <w:pPr>
              <w:jc w:val="right"/>
              <w:rPr>
                <w:rFonts w:asciiTheme="minorEastAsia" w:hAnsiTheme="minorEastAsia" w:cstheme="minorEastAsia"/>
                <w:sz w:val="18"/>
                <w:szCs w:val="18"/>
              </w:rPr>
            </w:pPr>
          </w:p>
        </w:tc>
        <w:tc>
          <w:tcPr>
            <w:tcW w:w="2025" w:type="dxa"/>
            <w:gridSpan w:val="2"/>
            <w:vAlign w:val="center"/>
          </w:tcPr>
          <w:p>
            <w:pPr>
              <w:jc w:val="right"/>
              <w:rPr>
                <w:rFonts w:asciiTheme="minorEastAsia" w:hAnsiTheme="minorEastAsia" w:cstheme="minorEastAsia"/>
                <w:sz w:val="18"/>
                <w:szCs w:val="18"/>
              </w:rPr>
            </w:pPr>
            <w:r>
              <w:rPr>
                <w:rFonts w:hint="eastAsia" w:asciiTheme="minorEastAsia" w:hAnsiTheme="minorEastAsia" w:cstheme="minorEastAsia"/>
                <w:sz w:val="18"/>
                <w:szCs w:val="18"/>
              </w:rPr>
              <w:t>12.20%</w:t>
            </w:r>
          </w:p>
        </w:tc>
      </w:tr>
      <w:tr>
        <w:tblPrEx>
          <w:tblCellMar>
            <w:top w:w="0" w:type="dxa"/>
            <w:left w:w="0" w:type="dxa"/>
            <w:bottom w:w="0" w:type="dxa"/>
            <w:right w:w="0" w:type="dxa"/>
          </w:tblCellMar>
        </w:tblPrEx>
        <w:trPr>
          <w:trHeight w:val="283" w:hRule="atLeast"/>
          <w:jc w:val="center"/>
        </w:trPr>
        <w:tc>
          <w:tcPr>
            <w:tcW w:w="829" w:type="dxa"/>
            <w:vMerge w:val="continue"/>
            <w:vAlign w:val="center"/>
          </w:tcPr>
          <w:p>
            <w:pPr>
              <w:jc w:val="center"/>
              <w:rPr>
                <w:rFonts w:asciiTheme="minorEastAsia" w:hAnsiTheme="minorEastAsia" w:cstheme="minorEastAsia"/>
                <w:b/>
                <w:sz w:val="24"/>
              </w:rPr>
            </w:pPr>
          </w:p>
        </w:tc>
        <w:tc>
          <w:tcPr>
            <w:tcW w:w="842" w:type="dxa"/>
            <w:vAlign w:val="center"/>
          </w:tcPr>
          <w:p>
            <w:pPr>
              <w:jc w:val="center"/>
              <w:rPr>
                <w:rFonts w:asciiTheme="minorEastAsia" w:hAnsiTheme="minorEastAsia" w:cstheme="minorEastAsia"/>
                <w:bCs/>
                <w:sz w:val="24"/>
              </w:rPr>
            </w:pPr>
            <w:r>
              <w:rPr>
                <w:rFonts w:hint="eastAsia" w:asciiTheme="minorEastAsia" w:hAnsiTheme="minorEastAsia" w:cstheme="minorEastAsia"/>
                <w:bCs/>
                <w:sz w:val="24"/>
              </w:rPr>
              <w:t>2018</w:t>
            </w:r>
          </w:p>
        </w:tc>
        <w:tc>
          <w:tcPr>
            <w:tcW w:w="886" w:type="dxa"/>
            <w:gridSpan w:val="2"/>
            <w:vAlign w:val="center"/>
          </w:tcPr>
          <w:p>
            <w:pPr>
              <w:jc w:val="left"/>
              <w:rPr>
                <w:rFonts w:asciiTheme="minorEastAsia" w:hAnsiTheme="minorEastAsia" w:cstheme="minorEastAsia"/>
                <w:sz w:val="28"/>
                <w:szCs w:val="28"/>
              </w:rPr>
            </w:pPr>
          </w:p>
        </w:tc>
        <w:tc>
          <w:tcPr>
            <w:tcW w:w="850" w:type="dxa"/>
            <w:gridSpan w:val="2"/>
            <w:vAlign w:val="center"/>
          </w:tcPr>
          <w:p>
            <w:pPr>
              <w:jc w:val="left"/>
              <w:rPr>
                <w:rFonts w:asciiTheme="minorEastAsia" w:hAnsiTheme="minorEastAsia" w:cstheme="minorEastAsia"/>
                <w:sz w:val="28"/>
                <w:szCs w:val="28"/>
              </w:rPr>
            </w:pPr>
          </w:p>
        </w:tc>
        <w:tc>
          <w:tcPr>
            <w:tcW w:w="851" w:type="dxa"/>
            <w:vAlign w:val="center"/>
          </w:tcPr>
          <w:p>
            <w:pPr>
              <w:jc w:val="left"/>
              <w:rPr>
                <w:rFonts w:asciiTheme="minorEastAsia" w:hAnsiTheme="minorEastAsia" w:cstheme="minorEastAsia"/>
                <w:sz w:val="28"/>
                <w:szCs w:val="28"/>
              </w:rPr>
            </w:pPr>
          </w:p>
        </w:tc>
        <w:tc>
          <w:tcPr>
            <w:tcW w:w="850" w:type="dxa"/>
            <w:gridSpan w:val="3"/>
            <w:vAlign w:val="center"/>
          </w:tcPr>
          <w:p>
            <w:pPr>
              <w:jc w:val="left"/>
              <w:rPr>
                <w:rFonts w:asciiTheme="minorEastAsia" w:hAnsiTheme="minorEastAsia" w:cstheme="minorEastAsia"/>
                <w:sz w:val="28"/>
                <w:szCs w:val="28"/>
              </w:rPr>
            </w:pPr>
          </w:p>
        </w:tc>
        <w:tc>
          <w:tcPr>
            <w:tcW w:w="993" w:type="dxa"/>
            <w:gridSpan w:val="2"/>
            <w:vAlign w:val="center"/>
          </w:tcPr>
          <w:p>
            <w:pPr>
              <w:jc w:val="left"/>
              <w:rPr>
                <w:rFonts w:asciiTheme="minorEastAsia" w:hAnsiTheme="minorEastAsia" w:cstheme="minorEastAsia"/>
                <w:sz w:val="28"/>
                <w:szCs w:val="28"/>
              </w:rPr>
            </w:pPr>
          </w:p>
        </w:tc>
        <w:tc>
          <w:tcPr>
            <w:tcW w:w="850" w:type="dxa"/>
            <w:gridSpan w:val="3"/>
            <w:vAlign w:val="center"/>
          </w:tcPr>
          <w:p>
            <w:pPr>
              <w:jc w:val="left"/>
              <w:rPr>
                <w:rFonts w:asciiTheme="minorEastAsia" w:hAnsiTheme="minorEastAsia" w:cstheme="minorEastAsia"/>
                <w:sz w:val="28"/>
                <w:szCs w:val="28"/>
              </w:rPr>
            </w:pPr>
          </w:p>
        </w:tc>
        <w:tc>
          <w:tcPr>
            <w:tcW w:w="2025" w:type="dxa"/>
            <w:gridSpan w:val="2"/>
            <w:vAlign w:val="center"/>
          </w:tcPr>
          <w:p>
            <w:pPr>
              <w:jc w:val="left"/>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8976" w:type="dxa"/>
            <w:gridSpan w:val="17"/>
            <w:vAlign w:val="center"/>
          </w:tcPr>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项目需求信息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8" w:hRule="atLeast"/>
          <w:jc w:val="center"/>
        </w:trPr>
        <w:tc>
          <w:tcPr>
            <w:tcW w:w="2334" w:type="dxa"/>
            <w:gridSpan w:val="3"/>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项目需求名称</w:t>
            </w:r>
          </w:p>
        </w:tc>
        <w:tc>
          <w:tcPr>
            <w:tcW w:w="6642" w:type="dxa"/>
            <w:gridSpan w:val="14"/>
            <w:vAlign w:val="center"/>
          </w:tcPr>
          <w:p>
            <w:pPr>
              <w:jc w:val="center"/>
              <w:rPr>
                <w:rFonts w:ascii="仿宋_GB2312" w:hAnsi="仿宋_GB2312" w:eastAsia="仿宋_GB2312" w:cs="仿宋_GB2312"/>
                <w:sz w:val="28"/>
                <w:szCs w:val="28"/>
              </w:rPr>
            </w:pPr>
            <w:bookmarkStart w:id="0" w:name="_Hlk59565153"/>
            <w:r>
              <w:rPr>
                <w:rFonts w:ascii="仿宋_GB2312" w:hAnsi="仿宋_GB2312" w:eastAsia="仿宋_GB2312" w:cs="仿宋_GB2312"/>
                <w:sz w:val="28"/>
                <w:szCs w:val="28"/>
              </w:rPr>
              <w:t>重金属污染土壤</w:t>
            </w:r>
            <w:r>
              <w:rPr>
                <w:rFonts w:hint="eastAsia" w:ascii="仿宋_GB2312" w:hAnsi="仿宋_GB2312" w:eastAsia="仿宋_GB2312" w:cs="仿宋_GB2312"/>
                <w:sz w:val="28"/>
                <w:szCs w:val="28"/>
              </w:rPr>
              <w:t>治理及</w:t>
            </w:r>
            <w:bookmarkEnd w:id="0"/>
            <w:r>
              <w:rPr>
                <w:rFonts w:hint="eastAsia" w:ascii="仿宋_GB2312" w:hAnsi="仿宋_GB2312" w:eastAsia="仿宋_GB2312" w:cs="仿宋_GB2312"/>
                <w:sz w:val="28"/>
                <w:szCs w:val="28"/>
              </w:rPr>
              <w:t>土壤增肥技术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8" w:hRule="atLeast"/>
          <w:jc w:val="center"/>
        </w:trPr>
        <w:tc>
          <w:tcPr>
            <w:tcW w:w="8976" w:type="dxa"/>
            <w:gridSpan w:val="17"/>
            <w:vAlign w:val="center"/>
          </w:tcPr>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需求背景、国内外相关情况介绍（限500字）</w:t>
            </w:r>
          </w:p>
          <w:p>
            <w:pPr>
              <w:ind w:firstLine="560" w:firstLineChars="200"/>
              <w:rPr>
                <w:rFonts w:ascii="仿宋_GB2312" w:hAnsi="仿宋_GB2312" w:eastAsia="仿宋_GB2312" w:cs="仿宋_GB2312"/>
                <w:sz w:val="28"/>
                <w:szCs w:val="28"/>
              </w:rPr>
            </w:pPr>
            <w:bookmarkStart w:id="1" w:name="_Hlk59566859"/>
            <w:r>
              <w:rPr>
                <w:rFonts w:hint="eastAsia" w:ascii="仿宋_GB2312" w:hAnsi="仿宋_GB2312" w:eastAsia="仿宋_GB2312" w:cs="仿宋_GB2312"/>
                <w:sz w:val="28"/>
                <w:szCs w:val="28"/>
              </w:rPr>
              <w:t>土壤是农业耕作的基础，土壤重金属污染对农作物的产量和品质都会产生一定的影响，最终通过食物链危害人类健康和生命。随着经济快速发展和人类活动的加剧，特别是工业企业和农业施肥的影响，土壤重金属污染风险日益突出。聊城市土壤重金属基本满足土壤环境质量标准的要求，但某些地区土壤仍存在潜在的生态和健康风险，近年来党中央、国务院及地方各级政府对土壤污染修复都非常重视，出台了一些列法律法规推动土壤污染治理。国内市场对重金属污染修复需求巨大，业内预计市场潜力在5-10万亿，发展重金属污染土壤修复并提高土壤肥力意义重大。</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目前重金属污染修复方法主要有物理法，化学法和生物法。</w:t>
            </w:r>
            <w:bookmarkEnd w:id="1"/>
            <w:r>
              <w:rPr>
                <w:rFonts w:hint="eastAsia" w:ascii="仿宋_GB2312" w:hAnsi="仿宋_GB2312" w:eastAsia="仿宋_GB2312" w:cs="仿宋_GB2312"/>
                <w:sz w:val="28"/>
                <w:szCs w:val="28"/>
              </w:rPr>
              <w:t>由于国外污染面积较小，因此主要采取化学固化后再填埋的化学</w:t>
            </w:r>
            <w:r>
              <w:rPr>
                <w:rFonts w:ascii="仿宋_GB2312" w:hAnsi="仿宋_GB2312" w:eastAsia="仿宋_GB2312" w:cs="仿宋_GB2312"/>
                <w:sz w:val="28"/>
                <w:szCs w:val="28"/>
              </w:rPr>
              <w:t>-物理相结合的方式， 这一修复方式成本很高。</w:t>
            </w:r>
            <w:r>
              <w:rPr>
                <w:rFonts w:hint="eastAsia" w:ascii="仿宋_GB2312" w:hAnsi="仿宋_GB2312" w:eastAsia="仿宋_GB2312" w:cs="仿宋_GB2312"/>
                <w:sz w:val="28"/>
                <w:szCs w:val="28"/>
              </w:rPr>
              <w:t>目前国内多采用技术含量较低的化学修复技术，但最大的问题在于化学修复成本过高、易改变土壤性质、造成植物减产，不利于后期生态修复和农田增产，不利于可持续发展，不是理想的修复方法。针对我国待修复场地污染面积大，而投资有限的国情，以操作简单、成本低、环境友好、既能解决污染问题也能提高土壤肥力的微生物修复方式是更加适合我国的一种修复方式。对于污染物多样、复杂，凭借单一的修复技术难以达到理想修复目标的场地，选择成本低的微生物修复技术为主体，协同物理、化学技术的联合修复能够弥补单一修复技术的不足，将是未来难治理场地修复的发展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5" w:hRule="atLeast"/>
          <w:jc w:val="center"/>
        </w:trPr>
        <w:tc>
          <w:tcPr>
            <w:tcW w:w="8976" w:type="dxa"/>
            <w:gridSpan w:val="17"/>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需求内容描述（技术指标参数或成果转化条件等）（限1000字）</w:t>
            </w:r>
          </w:p>
          <w:p>
            <w:pPr>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w:t>
            </w:r>
            <w:r>
              <w:rPr>
                <w:rFonts w:hint="eastAsia" w:ascii="Times New Roman" w:hAnsi="Times New Roman" w:eastAsia="仿宋_GB2312" w:cs="Times New Roman"/>
                <w:color w:val="000000"/>
                <w:sz w:val="28"/>
                <w:szCs w:val="28"/>
                <w:lang w:val="en-US" w:eastAsia="zh-CN"/>
              </w:rPr>
              <w:t>.该技术</w:t>
            </w:r>
            <w:r>
              <w:rPr>
                <w:rFonts w:hint="eastAsia" w:ascii="Times New Roman" w:hAnsi="Times New Roman" w:eastAsia="仿宋_GB2312" w:cs="Times New Roman"/>
                <w:color w:val="000000"/>
                <w:sz w:val="28"/>
                <w:szCs w:val="28"/>
              </w:rPr>
              <w:t>既能解决土壤重金属污染问题也能提高土壤肥力的微生物修复技术或以微生物修复技术为主体，协同物理、化学技术的联合修复技术。</w:t>
            </w:r>
          </w:p>
          <w:p>
            <w:pPr>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2</w:t>
            </w:r>
            <w:r>
              <w:rPr>
                <w:rFonts w:hint="eastAsia" w:ascii="Times New Roman" w:hAnsi="Times New Roman" w:eastAsia="仿宋_GB2312" w:cs="Times New Roman"/>
                <w:color w:val="000000"/>
                <w:sz w:val="28"/>
                <w:szCs w:val="28"/>
                <w:lang w:val="en-US" w:eastAsia="zh-CN"/>
              </w:rPr>
              <w:t>.该</w:t>
            </w:r>
            <w:r>
              <w:rPr>
                <w:rFonts w:hint="eastAsia" w:ascii="Times New Roman" w:hAnsi="Times New Roman" w:eastAsia="仿宋_GB2312" w:cs="Times New Roman"/>
                <w:color w:val="000000"/>
                <w:sz w:val="28"/>
                <w:szCs w:val="28"/>
              </w:rPr>
              <w:t>技术已实现产业化应用，并具有好的修复效果，有相关的知识产权。</w:t>
            </w:r>
          </w:p>
          <w:p>
            <w:pPr>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w:t>
            </w:r>
            <w:r>
              <w:rPr>
                <w:rFonts w:hint="eastAsia" w:ascii="Times New Roman" w:hAnsi="Times New Roman" w:eastAsia="仿宋_GB2312" w:cs="Times New Roman"/>
                <w:color w:val="000000"/>
                <w:sz w:val="28"/>
                <w:szCs w:val="28"/>
                <w:lang w:val="en-US" w:eastAsia="zh-CN"/>
              </w:rPr>
              <w:t>.该</w:t>
            </w:r>
            <w:r>
              <w:rPr>
                <w:rFonts w:hint="eastAsia" w:ascii="Times New Roman" w:hAnsi="Times New Roman" w:eastAsia="仿宋_GB2312" w:cs="Times New Roman"/>
                <w:color w:val="000000"/>
                <w:sz w:val="28"/>
                <w:szCs w:val="28"/>
              </w:rPr>
              <w:t>技术须能应用于多类重金属污染场地，能够起到原位固化重金属的作用，修复后农田作物品质需达到国家农作物质量标准。</w:t>
            </w:r>
          </w:p>
          <w:p>
            <w:pPr>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4</w:t>
            </w:r>
            <w:r>
              <w:rPr>
                <w:rFonts w:hint="eastAsia" w:ascii="Times New Roman" w:hAnsi="Times New Roman" w:eastAsia="仿宋_GB2312" w:cs="Times New Roman"/>
                <w:color w:val="000000"/>
                <w:sz w:val="28"/>
                <w:szCs w:val="28"/>
                <w:lang w:val="en-US" w:eastAsia="zh-CN"/>
              </w:rPr>
              <w:t>.该</w:t>
            </w:r>
            <w:bookmarkStart w:id="2" w:name="_GoBack"/>
            <w:bookmarkEnd w:id="2"/>
            <w:r>
              <w:rPr>
                <w:rFonts w:hint="eastAsia" w:ascii="Times New Roman" w:hAnsi="Times New Roman" w:eastAsia="仿宋_GB2312" w:cs="Times New Roman"/>
                <w:color w:val="000000"/>
                <w:sz w:val="28"/>
                <w:szCs w:val="28"/>
              </w:rPr>
              <w:t>技术还可应用于石漠化、沙漠化等场地的生态修复。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4" w:hRule="atLeast"/>
          <w:jc w:val="center"/>
        </w:trPr>
        <w:tc>
          <w:tcPr>
            <w:tcW w:w="8976" w:type="dxa"/>
            <w:gridSpan w:val="17"/>
            <w:tcBorders>
              <w:bottom w:val="single" w:color="auto" w:sz="4" w:space="0"/>
            </w:tcBorders>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对揭榜方要求（限500字）</w:t>
            </w:r>
          </w:p>
          <w:p>
            <w:pPr>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要求揭榜方为本市范围内有技术需求、应用场景和资金投入能力的企业，独立法人，近3年内无不良信用记录，无重大违法行为。</w:t>
            </w:r>
          </w:p>
          <w:p>
            <w:pPr>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976" w:type="dxa"/>
            <w:gridSpan w:val="17"/>
            <w:tcBorders>
              <w:bottom w:val="single" w:color="auto" w:sz="4" w:space="0"/>
            </w:tcBorders>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产权归属、利益分配等要求（限500字）：</w:t>
            </w:r>
          </w:p>
          <w:p>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本技术转移转化属于有偿转移转化。技术出让方拥有技术的所有权，并与受让方根据应用实施的具体项目情况签署合同，约定本次技术许可的范围和时效。</w:t>
            </w:r>
          </w:p>
          <w:p>
            <w:pPr>
              <w:ind w:firstLine="560" w:firstLineChars="200"/>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2334" w:type="dxa"/>
            <w:gridSpan w:val="3"/>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时限要求</w:t>
            </w:r>
          </w:p>
        </w:tc>
        <w:tc>
          <w:tcPr>
            <w:tcW w:w="2244" w:type="dxa"/>
            <w:gridSpan w:val="5"/>
            <w:vAlign w:val="center"/>
          </w:tcPr>
          <w:p>
            <w:pPr>
              <w:jc w:val="center"/>
              <w:rPr>
                <w:rFonts w:hint="default" w:ascii="仿宋_GB2312" w:hAnsi="仿宋_GB2312" w:eastAsia="仿宋_GB2312" w:cs="仿宋_GB2312"/>
                <w:sz w:val="28"/>
                <w:szCs w:val="28"/>
                <w:lang w:val="en-US" w:eastAsia="zh-CN"/>
              </w:rPr>
            </w:pPr>
            <w:r>
              <w:rPr>
                <w:rFonts w:hint="eastAsia" w:ascii="仿宋" w:hAnsi="仿宋" w:eastAsia="仿宋" w:cs="仿宋"/>
                <w:bCs/>
                <w:sz w:val="24"/>
                <w:lang w:val="en-US" w:eastAsia="zh-CN"/>
              </w:rPr>
              <w:t>≤</w:t>
            </w:r>
            <w:r>
              <w:rPr>
                <w:rFonts w:hint="eastAsia" w:ascii="仿宋_GB2312" w:hAnsi="仿宋_GB2312" w:eastAsia="仿宋_GB2312" w:cs="仿宋_GB2312"/>
                <w:bCs/>
                <w:sz w:val="28"/>
                <w:szCs w:val="28"/>
                <w:lang w:val="en-US" w:eastAsia="zh-CN"/>
              </w:rPr>
              <w:t>2年</w:t>
            </w:r>
          </w:p>
        </w:tc>
        <w:tc>
          <w:tcPr>
            <w:tcW w:w="2261" w:type="dxa"/>
            <w:gridSpan w:val="6"/>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项目投入总额</w:t>
            </w:r>
          </w:p>
        </w:tc>
        <w:tc>
          <w:tcPr>
            <w:tcW w:w="2137" w:type="dxa"/>
            <w:gridSpan w:val="3"/>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一事一议</w:t>
            </w:r>
          </w:p>
        </w:tc>
      </w:tr>
    </w:tbl>
    <w:p>
      <w:pPr>
        <w:widowControl/>
        <w:shd w:val="clear" w:color="auto" w:fill="FFFFFF"/>
        <w:spacing w:line="560" w:lineRule="exact"/>
        <w:rPr>
          <w:rFonts w:ascii="黑体" w:hAnsi="黑体" w:eastAsia="黑体" w:cs="黑体"/>
          <w:sz w:val="32"/>
        </w:rPr>
      </w:pPr>
    </w:p>
    <w:sectPr>
      <w:pgSz w:w="11906" w:h="16838"/>
      <w:pgMar w:top="2098" w:right="1746" w:bottom="1871"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A67986"/>
    <w:rsid w:val="000273DA"/>
    <w:rsid w:val="00032C5B"/>
    <w:rsid w:val="000344A7"/>
    <w:rsid w:val="00035598"/>
    <w:rsid w:val="000708C4"/>
    <w:rsid w:val="00096957"/>
    <w:rsid w:val="000C0589"/>
    <w:rsid w:val="00120E0B"/>
    <w:rsid w:val="002748CC"/>
    <w:rsid w:val="002A2C34"/>
    <w:rsid w:val="002B115F"/>
    <w:rsid w:val="002C4201"/>
    <w:rsid w:val="002D7052"/>
    <w:rsid w:val="002F6234"/>
    <w:rsid w:val="00371A17"/>
    <w:rsid w:val="003750F1"/>
    <w:rsid w:val="00394155"/>
    <w:rsid w:val="003F35BE"/>
    <w:rsid w:val="00427FBB"/>
    <w:rsid w:val="0043596D"/>
    <w:rsid w:val="00450481"/>
    <w:rsid w:val="00453F48"/>
    <w:rsid w:val="004D2BF7"/>
    <w:rsid w:val="005800F6"/>
    <w:rsid w:val="005935CE"/>
    <w:rsid w:val="005E1614"/>
    <w:rsid w:val="005F371D"/>
    <w:rsid w:val="005F7F0C"/>
    <w:rsid w:val="006137D2"/>
    <w:rsid w:val="00643E4F"/>
    <w:rsid w:val="0069737A"/>
    <w:rsid w:val="006A32CD"/>
    <w:rsid w:val="006B7C47"/>
    <w:rsid w:val="00714619"/>
    <w:rsid w:val="0073109C"/>
    <w:rsid w:val="00746365"/>
    <w:rsid w:val="00754CE1"/>
    <w:rsid w:val="0079436A"/>
    <w:rsid w:val="007A3B09"/>
    <w:rsid w:val="007D5D7F"/>
    <w:rsid w:val="007E3C4B"/>
    <w:rsid w:val="007F342B"/>
    <w:rsid w:val="007F68CB"/>
    <w:rsid w:val="00834C7A"/>
    <w:rsid w:val="00850CB4"/>
    <w:rsid w:val="008C6D9B"/>
    <w:rsid w:val="008D3B5B"/>
    <w:rsid w:val="00900FBB"/>
    <w:rsid w:val="00907E4E"/>
    <w:rsid w:val="0094577D"/>
    <w:rsid w:val="009530CA"/>
    <w:rsid w:val="009534BE"/>
    <w:rsid w:val="0099300E"/>
    <w:rsid w:val="009E243C"/>
    <w:rsid w:val="00A02BCC"/>
    <w:rsid w:val="00A2273F"/>
    <w:rsid w:val="00A4270B"/>
    <w:rsid w:val="00A70D33"/>
    <w:rsid w:val="00A715A1"/>
    <w:rsid w:val="00A77F1F"/>
    <w:rsid w:val="00AD5717"/>
    <w:rsid w:val="00AF0BD2"/>
    <w:rsid w:val="00B13A6F"/>
    <w:rsid w:val="00B64D52"/>
    <w:rsid w:val="00B853B9"/>
    <w:rsid w:val="00BA715B"/>
    <w:rsid w:val="00BE0987"/>
    <w:rsid w:val="00BE1A03"/>
    <w:rsid w:val="00C051A2"/>
    <w:rsid w:val="00C33EEC"/>
    <w:rsid w:val="00C70CFC"/>
    <w:rsid w:val="00CE274E"/>
    <w:rsid w:val="00CF322F"/>
    <w:rsid w:val="00D00C3F"/>
    <w:rsid w:val="00D14347"/>
    <w:rsid w:val="00D22E3D"/>
    <w:rsid w:val="00D74825"/>
    <w:rsid w:val="00D93709"/>
    <w:rsid w:val="00D95EB8"/>
    <w:rsid w:val="00E025D5"/>
    <w:rsid w:val="00E264E2"/>
    <w:rsid w:val="00E41520"/>
    <w:rsid w:val="00E7555B"/>
    <w:rsid w:val="00E75728"/>
    <w:rsid w:val="00E82094"/>
    <w:rsid w:val="00E838D1"/>
    <w:rsid w:val="00E948B9"/>
    <w:rsid w:val="00EE2AE8"/>
    <w:rsid w:val="00F67A53"/>
    <w:rsid w:val="00F90F57"/>
    <w:rsid w:val="00F93D99"/>
    <w:rsid w:val="00F94E64"/>
    <w:rsid w:val="01CE1204"/>
    <w:rsid w:val="0CCE5EEF"/>
    <w:rsid w:val="13A67986"/>
    <w:rsid w:val="2CAA4E91"/>
    <w:rsid w:val="39B958D3"/>
    <w:rsid w:val="3C2275B6"/>
    <w:rsid w:val="44D666B1"/>
    <w:rsid w:val="4B9A1360"/>
    <w:rsid w:val="4C1F66E0"/>
    <w:rsid w:val="575A4775"/>
    <w:rsid w:val="5DDC63C4"/>
    <w:rsid w:val="72EA1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3"/>
    <w:qFormat/>
    <w:uiPriority w:val="0"/>
    <w:rPr>
      <w:sz w:val="18"/>
      <w:szCs w:val="18"/>
    </w:rPr>
  </w:style>
  <w:style w:type="paragraph" w:styleId="4">
    <w:name w:val="footer"/>
    <w:basedOn w:val="1"/>
    <w:link w:val="15"/>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qFormat/>
    <w:uiPriority w:val="0"/>
    <w:rPr>
      <w:b/>
      <w:bCs/>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qFormat/>
    <w:uiPriority w:val="0"/>
    <w:rPr>
      <w:sz w:val="21"/>
      <w:szCs w:val="21"/>
    </w:rPr>
  </w:style>
  <w:style w:type="character" w:customStyle="1" w:styleId="11">
    <w:name w:val="批注文字 Char"/>
    <w:basedOn w:val="9"/>
    <w:link w:val="2"/>
    <w:qFormat/>
    <w:uiPriority w:val="0"/>
    <w:rPr>
      <w:rFonts w:asciiTheme="minorHAnsi" w:hAnsiTheme="minorHAnsi" w:eastAsiaTheme="minorEastAsia" w:cstheme="minorBidi"/>
      <w:kern w:val="2"/>
      <w:sz w:val="21"/>
      <w:szCs w:val="24"/>
    </w:rPr>
  </w:style>
  <w:style w:type="character" w:customStyle="1" w:styleId="12">
    <w:name w:val="批注主题 Char"/>
    <w:basedOn w:val="11"/>
    <w:link w:val="6"/>
    <w:qFormat/>
    <w:uiPriority w:val="0"/>
    <w:rPr>
      <w:rFonts w:asciiTheme="minorHAnsi" w:hAnsiTheme="minorHAnsi" w:eastAsiaTheme="minorEastAsia" w:cstheme="minorBidi"/>
      <w:b/>
      <w:bCs/>
      <w:kern w:val="2"/>
      <w:sz w:val="21"/>
      <w:szCs w:val="24"/>
    </w:rPr>
  </w:style>
  <w:style w:type="character" w:customStyle="1" w:styleId="13">
    <w:name w:val="批注框文本 Char"/>
    <w:basedOn w:val="9"/>
    <w:link w:val="3"/>
    <w:uiPriority w:val="0"/>
    <w:rPr>
      <w:rFonts w:asciiTheme="minorHAnsi" w:hAnsiTheme="minorHAnsi" w:eastAsiaTheme="minorEastAsia" w:cstheme="minorBidi"/>
      <w:kern w:val="2"/>
      <w:sz w:val="18"/>
      <w:szCs w:val="18"/>
    </w:rPr>
  </w:style>
  <w:style w:type="character" w:customStyle="1" w:styleId="14">
    <w:name w:val="页眉 Char"/>
    <w:basedOn w:val="9"/>
    <w:link w:val="5"/>
    <w:uiPriority w:val="0"/>
    <w:rPr>
      <w:rFonts w:asciiTheme="minorHAnsi" w:hAnsiTheme="minorHAnsi" w:eastAsiaTheme="minorEastAsia" w:cstheme="minorBidi"/>
      <w:kern w:val="2"/>
      <w:sz w:val="18"/>
      <w:szCs w:val="18"/>
    </w:rPr>
  </w:style>
  <w:style w:type="character" w:customStyle="1" w:styleId="15">
    <w:name w:val="页脚 Char"/>
    <w:basedOn w:val="9"/>
    <w:link w:val="4"/>
    <w:uiPriority w:val="0"/>
    <w:rPr>
      <w:rFonts w:asciiTheme="minorHAnsi" w:hAnsiTheme="minorHAnsi" w:eastAsiaTheme="minorEastAsia" w:cstheme="minorBidi"/>
      <w:kern w:val="2"/>
      <w:sz w:val="18"/>
      <w:szCs w:val="18"/>
    </w:rPr>
  </w:style>
  <w:style w:type="paragraph" w:styleId="16">
    <w:name w:val="List Paragraph"/>
    <w:basedOn w:val="1"/>
    <w:qFormat/>
    <w:uiPriority w:val="99"/>
    <w:pPr>
      <w:ind w:firstLine="420" w:firstLineChars="200"/>
    </w:pPr>
  </w:style>
  <w:style w:type="character" w:customStyle="1" w:styleId="17">
    <w:name w:val="fontstyle01"/>
    <w:basedOn w:val="9"/>
    <w:qFormat/>
    <w:uiPriority w:val="0"/>
    <w:rPr>
      <w:rFonts w:hint="eastAsia" w:ascii="仿宋_GB2312" w:eastAsia="仿宋_GB2312"/>
      <w:color w:val="000000"/>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233</Words>
  <Characters>1332</Characters>
  <Lines>11</Lines>
  <Paragraphs>3</Paragraphs>
  <TotalTime>4</TotalTime>
  <ScaleCrop>false</ScaleCrop>
  <LinksUpToDate>false</LinksUpToDate>
  <CharactersWithSpaces>1562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2021-01-12T02:35:00Z</dcterms:created>
  <dc:creator>DELL</dc:creator>
  <cp:lastModifiedBy>DELL</cp:lastModifiedBy>
  <cp:lastPrinted>2021-01-12T02:56:00Z</cp:lastPrinted>
  <dcterms:modified xsi:type="dcterms:W3CDTF">2021-03-01T07:03:13Z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