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聊城市重点研发计划“揭榜制”“组阁制”</w:t>
      </w:r>
    </w:p>
    <w:p>
      <w:pPr>
        <w:spacing w:line="700" w:lineRule="exact"/>
        <w:jc w:val="center"/>
        <w:rPr>
          <w:rFonts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rPr>
        <w:t>项目需求表1（共性技术攻关类）</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842"/>
        <w:gridCol w:w="663"/>
        <w:gridCol w:w="223"/>
        <w:gridCol w:w="631"/>
        <w:gridCol w:w="219"/>
        <w:gridCol w:w="851"/>
        <w:gridCol w:w="320"/>
        <w:gridCol w:w="410"/>
        <w:gridCol w:w="120"/>
        <w:gridCol w:w="993"/>
        <w:gridCol w:w="247"/>
        <w:gridCol w:w="252"/>
        <w:gridCol w:w="239"/>
        <w:gridCol w:w="1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8976" w:type="dxa"/>
            <w:gridSpan w:val="16"/>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需求方情况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7305" w:type="dxa"/>
            <w:gridSpan w:val="14"/>
            <w:vAlign w:val="center"/>
          </w:tcPr>
          <w:p>
            <w:pPr>
              <w:ind w:firstLine="1200" w:firstLineChars="5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4"/>
              </w:rPr>
              <w:t>比兰德（山东）工程科技有限公司</w:t>
            </w:r>
            <w:r>
              <w:rPr>
                <w:rFonts w:hint="eastAsia" w:ascii="仿宋_GB2312" w:hAnsi="仿宋_GB2312" w:eastAsia="仿宋_GB2312" w:cs="仿宋_GB2312"/>
                <w:bCs/>
                <w:sz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注册时间</w:t>
            </w:r>
          </w:p>
        </w:tc>
        <w:tc>
          <w:tcPr>
            <w:tcW w:w="2907" w:type="dxa"/>
            <w:gridSpan w:val="6"/>
            <w:vAlign w:val="center"/>
          </w:tcPr>
          <w:p>
            <w:pPr>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rPr>
              <w:t>2017</w:t>
            </w:r>
            <w:r>
              <w:rPr>
                <w:rFonts w:hint="eastAsia" w:ascii="仿宋_GB2312" w:hAnsi="仿宋_GB2312" w:eastAsia="仿宋_GB2312" w:cs="仿宋_GB2312"/>
                <w:bCs/>
                <w:sz w:val="24"/>
                <w:lang w:val="en-US" w:eastAsia="zh-CN"/>
              </w:rPr>
              <w:t>年</w:t>
            </w:r>
            <w:r>
              <w:rPr>
                <w:rFonts w:hint="eastAsia" w:ascii="仿宋_GB2312" w:hAnsi="仿宋_GB2312" w:eastAsia="仿宋_GB2312" w:cs="仿宋_GB2312"/>
                <w:bCs/>
                <w:sz w:val="24"/>
              </w:rPr>
              <w:t>8</w:t>
            </w:r>
            <w:r>
              <w:rPr>
                <w:rFonts w:hint="eastAsia" w:ascii="仿宋_GB2312" w:hAnsi="仿宋_GB2312" w:eastAsia="仿宋_GB2312" w:cs="仿宋_GB2312"/>
                <w:bCs/>
                <w:sz w:val="24"/>
                <w:lang w:val="en-US" w:eastAsia="zh-CN"/>
              </w:rPr>
              <w:t>月</w:t>
            </w:r>
            <w:r>
              <w:rPr>
                <w:rFonts w:hint="eastAsia" w:ascii="仿宋_GB2312" w:hAnsi="仿宋_GB2312" w:eastAsia="仿宋_GB2312" w:cs="仿宋_GB2312"/>
                <w:bCs/>
                <w:sz w:val="24"/>
              </w:rPr>
              <w:t>10</w:t>
            </w:r>
            <w:r>
              <w:rPr>
                <w:rFonts w:hint="eastAsia" w:ascii="仿宋_GB2312" w:hAnsi="仿宋_GB2312" w:eastAsia="仿宋_GB2312" w:cs="仿宋_GB2312"/>
                <w:bCs/>
                <w:sz w:val="24"/>
                <w:lang w:val="en-US" w:eastAsia="zh-CN"/>
              </w:rPr>
              <w:t>日</w:t>
            </w:r>
          </w:p>
        </w:tc>
        <w:tc>
          <w:tcPr>
            <w:tcW w:w="1770"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2628"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所属产业</w:t>
            </w:r>
          </w:p>
        </w:tc>
        <w:tc>
          <w:tcPr>
            <w:tcW w:w="2907" w:type="dxa"/>
            <w:gridSpan w:val="6"/>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科技推广和应用服务业</w:t>
            </w:r>
          </w:p>
        </w:tc>
        <w:tc>
          <w:tcPr>
            <w:tcW w:w="1770"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w:t>
            </w:r>
          </w:p>
        </w:tc>
        <w:tc>
          <w:tcPr>
            <w:tcW w:w="2628"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建筑工程新产品、新技术研发与推广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单位总人数</w:t>
            </w:r>
          </w:p>
        </w:tc>
        <w:tc>
          <w:tcPr>
            <w:tcW w:w="2907" w:type="dxa"/>
            <w:gridSpan w:val="6"/>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56人</w:t>
            </w:r>
          </w:p>
        </w:tc>
        <w:tc>
          <w:tcPr>
            <w:tcW w:w="1770" w:type="dxa"/>
            <w:gridSpan w:val="4"/>
            <w:vAlign w:val="center"/>
          </w:tcPr>
          <w:p>
            <w:pPr>
              <w:jc w:val="center"/>
              <w:rPr>
                <w:rFonts w:ascii="仿宋_GB2312" w:hAnsi="仿宋_GB2312" w:eastAsia="仿宋_GB2312" w:cs="仿宋_GB2312"/>
                <w:szCs w:val="28"/>
              </w:rPr>
            </w:pPr>
            <w:r>
              <w:rPr>
                <w:rFonts w:hint="eastAsia" w:ascii="仿宋_GB2312" w:hAnsi="仿宋_GB2312" w:eastAsia="仿宋_GB2312" w:cs="仿宋_GB2312"/>
                <w:sz w:val="28"/>
                <w:szCs w:val="28"/>
              </w:rPr>
              <w:t>本科以上人数</w:t>
            </w:r>
          </w:p>
        </w:tc>
        <w:tc>
          <w:tcPr>
            <w:tcW w:w="2628"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32人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1671"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法人类型</w:t>
            </w:r>
          </w:p>
        </w:tc>
        <w:tc>
          <w:tcPr>
            <w:tcW w:w="7305" w:type="dxa"/>
            <w:gridSpan w:val="14"/>
            <w:vAlign w:val="center"/>
          </w:tcPr>
          <w:p>
            <w:pPr>
              <w:spacing w:line="360" w:lineRule="auto"/>
              <w:ind w:firstLine="120" w:firstLineChars="50"/>
              <w:jc w:val="left"/>
              <w:rPr>
                <w:rFonts w:ascii="仿宋_GB2312" w:hAnsi="仿宋_GB2312" w:eastAsia="仿宋_GB2312" w:cs="仿宋_GB2312"/>
                <w:sz w:val="24"/>
              </w:rPr>
            </w:pPr>
            <w:r>
              <w:rPr>
                <w:rFonts w:hint="eastAsia" w:ascii="仿宋_GB2312" w:hAnsi="仿宋_GB2312" w:eastAsia="仿宋_GB2312" w:cs="仿宋_GB2312"/>
                <w:sz w:val="24"/>
              </w:rPr>
              <w:t>√企业法人      ○机关法人    ○社会团体法人</w:t>
            </w:r>
          </w:p>
          <w:p>
            <w:pPr>
              <w:spacing w:line="360" w:lineRule="auto"/>
              <w:ind w:firstLine="120" w:firstLineChars="50"/>
              <w:jc w:val="left"/>
              <w:rPr>
                <w:rFonts w:ascii="仿宋_GB2312" w:hAnsi="仿宋_GB2312" w:eastAsia="仿宋_GB2312" w:cs="仿宋_GB2312"/>
                <w:sz w:val="28"/>
                <w:szCs w:val="28"/>
              </w:rPr>
            </w:pPr>
            <w:r>
              <w:rPr>
                <w:rFonts w:hint="eastAsia" w:ascii="仿宋_GB2312" w:hAnsi="仿宋_GB2312" w:eastAsia="仿宋_GB2312" w:cs="仿宋_GB2312"/>
                <w:sz w:val="24"/>
              </w:rPr>
              <w:t>○事业单位法人  ○其他：</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671"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经济性质</w:t>
            </w:r>
          </w:p>
        </w:tc>
        <w:tc>
          <w:tcPr>
            <w:tcW w:w="7305" w:type="dxa"/>
            <w:gridSpan w:val="14"/>
            <w:vAlign w:val="center"/>
          </w:tcPr>
          <w:p>
            <w:pPr>
              <w:ind w:firstLine="140" w:firstLine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○国有    ○集体    √民营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tc>
        <w:tc>
          <w:tcPr>
            <w:tcW w:w="1517"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800"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韩震</w:t>
            </w:r>
          </w:p>
        </w:tc>
        <w:tc>
          <w:tcPr>
            <w:tcW w:w="1612" w:type="dxa"/>
            <w:gridSpan w:val="4"/>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2376" w:type="dxa"/>
            <w:gridSpan w:val="3"/>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执行董事兼总经理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Merge w:val="restart"/>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tc>
        <w:tc>
          <w:tcPr>
            <w:tcW w:w="1517"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800"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刘玉洋</w:t>
            </w:r>
          </w:p>
        </w:tc>
        <w:tc>
          <w:tcPr>
            <w:tcW w:w="1612" w:type="dxa"/>
            <w:gridSpan w:val="4"/>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2376" w:type="dxa"/>
            <w:gridSpan w:val="3"/>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总经理助理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671" w:type="dxa"/>
            <w:gridSpan w:val="2"/>
            <w:vMerge w:val="continue"/>
            <w:vAlign w:val="center"/>
          </w:tcPr>
          <w:p>
            <w:pPr>
              <w:jc w:val="center"/>
              <w:rPr>
                <w:rFonts w:ascii="仿宋_GB2312" w:hAnsi="仿宋_GB2312" w:eastAsia="仿宋_GB2312" w:cs="仿宋_GB2312"/>
                <w:b/>
                <w:sz w:val="28"/>
                <w:szCs w:val="28"/>
              </w:rPr>
            </w:pPr>
          </w:p>
        </w:tc>
        <w:tc>
          <w:tcPr>
            <w:tcW w:w="1517"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手机</w:t>
            </w:r>
          </w:p>
        </w:tc>
        <w:tc>
          <w:tcPr>
            <w:tcW w:w="1800"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15628873653</w:t>
            </w:r>
          </w:p>
        </w:tc>
        <w:tc>
          <w:tcPr>
            <w:tcW w:w="1612" w:type="dxa"/>
            <w:gridSpan w:val="4"/>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邮箱</w:t>
            </w:r>
          </w:p>
        </w:tc>
        <w:tc>
          <w:tcPr>
            <w:tcW w:w="2376" w:type="dxa"/>
            <w:gridSpan w:val="3"/>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490023283@qq.com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restart"/>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财务</w:t>
            </w:r>
          </w:p>
          <w:p>
            <w:pPr>
              <w:jc w:val="center"/>
              <w:rPr>
                <w:rFonts w:ascii="仿宋_GB2312" w:hAnsi="仿宋_GB2312" w:eastAsia="仿宋_GB2312" w:cs="仿宋_GB2312"/>
                <w:bCs/>
                <w:sz w:val="24"/>
              </w:rPr>
            </w:pPr>
            <w:r>
              <w:rPr>
                <w:rFonts w:hint="eastAsia" w:ascii="仿宋_GB2312" w:hAnsi="仿宋_GB2312" w:eastAsia="仿宋_GB2312" w:cs="仿宋_GB2312"/>
                <w:bCs/>
                <w:sz w:val="24"/>
              </w:rPr>
              <w:t>状况</w:t>
            </w:r>
          </w:p>
          <w:p>
            <w:pPr>
              <w:jc w:val="center"/>
              <w:rPr>
                <w:rFonts w:ascii="仿宋_GB2312" w:hAnsi="仿宋_GB2312" w:eastAsia="仿宋_GB2312" w:cs="仿宋_GB2312"/>
                <w:b/>
                <w:sz w:val="24"/>
              </w:rPr>
            </w:pPr>
            <w:r>
              <w:rPr>
                <w:rFonts w:hint="eastAsia" w:ascii="仿宋_GB2312" w:hAnsi="仿宋_GB2312" w:eastAsia="仿宋_GB2312" w:cs="仿宋_GB2312"/>
                <w:bCs/>
                <w:sz w:val="24"/>
              </w:rPr>
              <w:t>(万元)</w:t>
            </w: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年份</w:t>
            </w:r>
          </w:p>
        </w:tc>
        <w:tc>
          <w:tcPr>
            <w:tcW w:w="886"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总收入</w:t>
            </w:r>
          </w:p>
        </w:tc>
        <w:tc>
          <w:tcPr>
            <w:tcW w:w="850"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年产值</w:t>
            </w:r>
          </w:p>
        </w:tc>
        <w:tc>
          <w:tcPr>
            <w:tcW w:w="851" w:type="dxa"/>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年销</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售额</w:t>
            </w:r>
          </w:p>
        </w:tc>
        <w:tc>
          <w:tcPr>
            <w:tcW w:w="850" w:type="dxa"/>
            <w:gridSpan w:val="3"/>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年利税</w:t>
            </w:r>
          </w:p>
        </w:tc>
        <w:tc>
          <w:tcPr>
            <w:tcW w:w="993" w:type="dxa"/>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年净</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利润</w:t>
            </w:r>
          </w:p>
        </w:tc>
        <w:tc>
          <w:tcPr>
            <w:tcW w:w="850" w:type="dxa"/>
            <w:gridSpan w:val="4"/>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研发</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经费</w:t>
            </w:r>
          </w:p>
        </w:tc>
        <w:tc>
          <w:tcPr>
            <w:tcW w:w="2025" w:type="dxa"/>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2020</w:t>
            </w:r>
          </w:p>
        </w:tc>
        <w:tc>
          <w:tcPr>
            <w:tcW w:w="886"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1250</w:t>
            </w:r>
          </w:p>
        </w:tc>
        <w:tc>
          <w:tcPr>
            <w:tcW w:w="850"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2000</w:t>
            </w:r>
          </w:p>
        </w:tc>
        <w:tc>
          <w:tcPr>
            <w:tcW w:w="851"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1100</w:t>
            </w:r>
          </w:p>
        </w:tc>
        <w:tc>
          <w:tcPr>
            <w:tcW w:w="850" w:type="dxa"/>
            <w:gridSpan w:val="3"/>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70</w:t>
            </w:r>
          </w:p>
        </w:tc>
        <w:tc>
          <w:tcPr>
            <w:tcW w:w="993"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150</w:t>
            </w:r>
          </w:p>
        </w:tc>
        <w:tc>
          <w:tcPr>
            <w:tcW w:w="850"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120</w:t>
            </w:r>
          </w:p>
        </w:tc>
        <w:tc>
          <w:tcPr>
            <w:tcW w:w="2025"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2019</w:t>
            </w:r>
          </w:p>
        </w:tc>
        <w:tc>
          <w:tcPr>
            <w:tcW w:w="886"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880</w:t>
            </w:r>
          </w:p>
        </w:tc>
        <w:tc>
          <w:tcPr>
            <w:tcW w:w="850"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1500</w:t>
            </w:r>
          </w:p>
        </w:tc>
        <w:tc>
          <w:tcPr>
            <w:tcW w:w="851"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600</w:t>
            </w:r>
          </w:p>
        </w:tc>
        <w:tc>
          <w:tcPr>
            <w:tcW w:w="850" w:type="dxa"/>
            <w:gridSpan w:val="3"/>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30</w:t>
            </w:r>
          </w:p>
        </w:tc>
        <w:tc>
          <w:tcPr>
            <w:tcW w:w="993"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100</w:t>
            </w:r>
          </w:p>
        </w:tc>
        <w:tc>
          <w:tcPr>
            <w:tcW w:w="850"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80</w:t>
            </w:r>
          </w:p>
        </w:tc>
        <w:tc>
          <w:tcPr>
            <w:tcW w:w="2025"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2018</w:t>
            </w:r>
          </w:p>
        </w:tc>
        <w:tc>
          <w:tcPr>
            <w:tcW w:w="886"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320</w:t>
            </w:r>
          </w:p>
        </w:tc>
        <w:tc>
          <w:tcPr>
            <w:tcW w:w="850" w:type="dxa"/>
            <w:gridSpan w:val="2"/>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500</w:t>
            </w:r>
          </w:p>
        </w:tc>
        <w:tc>
          <w:tcPr>
            <w:tcW w:w="851"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170</w:t>
            </w:r>
          </w:p>
        </w:tc>
        <w:tc>
          <w:tcPr>
            <w:tcW w:w="850" w:type="dxa"/>
            <w:gridSpan w:val="3"/>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10</w:t>
            </w:r>
          </w:p>
        </w:tc>
        <w:tc>
          <w:tcPr>
            <w:tcW w:w="993"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30</w:t>
            </w:r>
          </w:p>
        </w:tc>
        <w:tc>
          <w:tcPr>
            <w:tcW w:w="850" w:type="dxa"/>
            <w:gridSpan w:val="4"/>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50</w:t>
            </w:r>
          </w:p>
        </w:tc>
        <w:tc>
          <w:tcPr>
            <w:tcW w:w="2025"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8976" w:type="dxa"/>
            <w:gridSpan w:val="16"/>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2334"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项目需求名称</w:t>
            </w:r>
          </w:p>
        </w:tc>
        <w:tc>
          <w:tcPr>
            <w:tcW w:w="6642" w:type="dxa"/>
            <w:gridSpan w:val="13"/>
            <w:vAlign w:val="center"/>
          </w:tcPr>
          <w:p>
            <w:pPr>
              <w:jc w:val="center"/>
              <w:rPr>
                <w:rFonts w:ascii="仿宋_GB2312" w:hAnsi="仿宋_GB2312" w:eastAsia="仿宋_GB2312" w:cs="仿宋_GB2312"/>
                <w:bCs/>
                <w:sz w:val="28"/>
                <w:szCs w:val="28"/>
              </w:rPr>
            </w:pPr>
            <w:r>
              <w:rPr>
                <w:rFonts w:hint="eastAsia" w:ascii="仿宋" w:hAnsi="仿宋" w:eastAsia="仿宋" w:cs="仿宋"/>
                <w:bCs/>
                <w:sz w:val="24"/>
              </w:rPr>
              <w:t>装配式建筑预制构件通用模具关键技术研究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7" w:hRule="atLeast"/>
          <w:jc w:val="center"/>
        </w:trPr>
        <w:tc>
          <w:tcPr>
            <w:tcW w:w="8976" w:type="dxa"/>
            <w:gridSpan w:val="16"/>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需求背景、国内外相关情况介绍（限500字）</w:t>
            </w:r>
          </w:p>
          <w:p>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近年来，混凝土预制装配式建筑以其自身所具备的诸多优势，在建筑工程中的应用越来越广泛。预制混凝土构件主要包括：叠合板、楼梯和室外空调板，统称为预制PC构件。此类预制构件可依据设计要求进行工厂加工，在保证质量的前提下，提高生产效率。预制PC构件模具是工厂加工的基础和前提条件，其经济性、合理性及可重复利用率是推动混凝土预制装配式建筑发展的重要支撑。</w:t>
            </w:r>
          </w:p>
          <w:p>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目前，国内外预制PC构件模具较多采用“出筋边模”或“定型钢模”。即：根据预制PC构件的技术标准、尺寸大小、钢筋排布和配套功能制作“出筋边模”或“定型钢模”；脱模时，通过人工分离模具内各组件的连接件，将模具移出。“出筋边模”或“定型钢模”通用性较差，即：不同项目、不同部位的构件所需模具各不相同。为满足生产需要，各预制PC构件又不得不投入重金，针对不同批次产品提前加工相应的模具，待完成该批次预制PC构件的生产后，模具随之失去再利用价值，该现象造成极大的浪费。据不完全统计，一家中型构件加工厂，每年楼梯模具投入50余万元，但可再利用率为零。</w:t>
            </w:r>
          </w:p>
          <w:p>
            <w:pPr>
              <w:spacing w:line="560" w:lineRule="exact"/>
              <w:ind w:firstLine="480" w:firstLineChars="200"/>
              <w:rPr>
                <w:rFonts w:ascii="仿宋_GB2312" w:hAnsi="仿宋_GB2312" w:eastAsia="仿宋_GB2312" w:cs="仿宋_GB2312"/>
                <w:bCs/>
                <w:sz w:val="32"/>
                <w:szCs w:val="32"/>
              </w:rPr>
            </w:pPr>
            <w:r>
              <w:rPr>
                <w:rFonts w:hint="eastAsia" w:ascii="仿宋" w:hAnsi="仿宋" w:eastAsia="仿宋" w:cs="仿宋"/>
                <w:bCs/>
                <w:sz w:val="24"/>
              </w:rPr>
              <w:t>综上，</w:t>
            </w:r>
            <w:r>
              <w:rPr>
                <w:rFonts w:hint="eastAsia" w:ascii="仿宋" w:hAnsi="仿宋" w:eastAsia="仿宋" w:cs="仿宋"/>
                <w:bCs/>
                <w:sz w:val="24"/>
              </w:rPr>
              <w:t>装配式建筑预制构件通用模具的研发攻关工作具有十分积极的社会效益和经济效益，对推动装配式建筑的发展起到积极的作用。</w:t>
            </w:r>
          </w:p>
          <w:p>
            <w:pPr>
              <w:spacing w:line="360" w:lineRule="auto"/>
              <w:ind w:firstLine="480" w:firstLineChars="2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8976" w:type="dxa"/>
            <w:gridSpan w:val="16"/>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需求内容描述（技术指标参数或成果转化条件等）（限1000字）</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1.现有装配式建筑预制构件模具的弊端，主要表现在以下几个方面：</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模具通用性较差。现有常规预制PC构件模具只能生产符合某一特定技术指标的构件，导致模具重复利用率低、造成材料浪费；间接推高预制PC构件生产成本，为装配式建筑的发展设立障碍，降低了社会效益和经济效益。</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模具加工制造时间长。由于模具的通用性较差，造成不同项目的预制构件模具需要提前预订，并单独加工制造。以楼梯模具为例，需提前15天预订。模具加工时间影响整个供货周期，也会间接推高构件生产成本。</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（3）模具容错能力差。由于模具的通用性差，因此模具一旦加工制作完成，则容错能力很差。若模具加工制作过程中出现偏差，则该模具无法满足生产需要，只能废弃，重新制作。</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（4）模具成本较高。现有常规预制PC构件模具，尤其是“定型钢模”，重复利用率几乎为零，造成单个钢模成本较高。</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综上，通过克服上述问题，实现一模多用、一模通用的预制PC构件模具，是该领域企业需要亟待解决的技术问题。基于企业生产实际情况，从生产周期、成本以及资源的合理利用角度，希望能通过科研机构、高校或专业的技术人员技术攻关，研发通用预制PC构件模具，实现预制楼板通用模具、预制空调板通用模具和预制楼梯通用模具。从而提升预制构件生产效率，降低生产成本，节约生产资源，使装配式建筑更符合绿色发展理念。</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2.通用预制PC构件模具应符合以下技术指标：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通用性。通用预制PC构件模具可根据设计图纸中的制PC构件尺寸参数要求进行模具形状、厚度、各类节点构造的组装与调节。以楼梯模具为例，该通用楼梯模具应能满足90%以上同类型预制楼梯外观尺寸要求，基本实现通用性。</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（2）模具组装时间短。新型预制PC构件通用模具组装耗时应较短，在常规条件下，2个工作日，基本实现模具的组装，并能满足生产需求。</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（3）大大降低模具成本。新型预制PC构件通用模具组装过程中，如需更换局部配件，则配件成本不应高于原传统模具的30%。组装人工费用不应超过原传统模具的20%。</w:t>
            </w:r>
          </w:p>
          <w:p>
            <w:pPr>
              <w:spacing w:line="360" w:lineRule="auto"/>
              <w:ind w:firstLine="480" w:firstLineChars="200"/>
              <w:jc w:val="left"/>
              <w:rPr>
                <w:rFonts w:ascii="仿宋_GB2312" w:hAnsi="仿宋_GB2312" w:eastAsia="仿宋_GB2312" w:cs="仿宋_GB2312"/>
                <w:bCs/>
                <w:sz w:val="28"/>
                <w:szCs w:val="28"/>
              </w:rPr>
            </w:pPr>
            <w:r>
              <w:rPr>
                <w:rFonts w:hint="eastAsia" w:ascii="仿宋" w:hAnsi="仿宋" w:eastAsia="仿宋" w:cs="仿宋"/>
                <w:bCs/>
                <w:sz w:val="24"/>
              </w:rPr>
              <w:t>综上，通用预制PC构件模具应具有通用性，造价低，组装耗时短三个显著特征。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8976" w:type="dxa"/>
            <w:gridSpan w:val="16"/>
            <w:tcBorders>
              <w:bottom w:val="single" w:color="auto" w:sz="4" w:space="0"/>
            </w:tcBorders>
          </w:tcPr>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对揭榜方要求（限500字）</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1.要求揭榜方为省内外有研究开发能力的高校、科技型中小企业或其组织的联合体；</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2.揭榜方应具有较强的研发团队、科研条件和自主研发能力，在相关领域拥有良好的科研业绩，有能力完成揭榜任务；</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3.揭榜方能对项目需求提出攻克关键核心技术的可行方案，掌握自主知识产权；</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4.具有良好的科研道德和社会诚信，近三年内无不良信用记录；</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5.鼓励揭榜方开展产学研合作、组团揭榜攻关。</w:t>
            </w:r>
          </w:p>
          <w:p>
            <w:pPr>
              <w:spacing w:line="360" w:lineRule="auto"/>
              <w:ind w:firstLine="480" w:firstLineChars="2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3" w:hRule="atLeast"/>
          <w:jc w:val="center"/>
        </w:trPr>
        <w:tc>
          <w:tcPr>
            <w:tcW w:w="8976" w:type="dxa"/>
            <w:gridSpan w:val="16"/>
            <w:tcBorders>
              <w:bottom w:val="single" w:color="auto" w:sz="4" w:space="0"/>
            </w:tcBorders>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利益分配等要求（限500字）：</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60"/>
              <w:textAlignment w:val="auto"/>
              <w:rPr>
                <w:rFonts w:ascii="仿宋_GB2312" w:hAnsi="仿宋_GB2312" w:eastAsia="仿宋_GB2312" w:cs="仿宋_GB2312"/>
                <w:color w:val="auto"/>
                <w:kern w:val="2"/>
                <w:sz w:val="32"/>
                <w:szCs w:val="32"/>
              </w:rPr>
            </w:pPr>
            <w:r>
              <w:rPr>
                <w:rFonts w:hint="eastAsia" w:ascii="仿宋" w:hAnsi="仿宋" w:eastAsia="仿宋" w:cs="仿宋"/>
                <w:bCs/>
                <w:sz w:val="24"/>
                <w:lang w:val="en-US" w:eastAsia="zh-CN"/>
              </w:rPr>
              <w:t>该</w:t>
            </w:r>
            <w:r>
              <w:rPr>
                <w:rFonts w:hint="eastAsia" w:ascii="仿宋" w:hAnsi="仿宋" w:eastAsia="仿宋" w:cs="仿宋"/>
                <w:bCs/>
                <w:kern w:val="2"/>
                <w:sz w:val="24"/>
                <w:szCs w:val="24"/>
                <w:lang w:val="en-US" w:eastAsia="zh-CN" w:bidi="ar-SA"/>
              </w:rPr>
              <w:t>项目的相关技术成果及知识产权所形成收益由聊城产研院及出资方按出资比例享有。在揭榜攻关过程中，形成新的技术成果及知识产权的所有权由产研院及出资方按出资比例享有。</w:t>
            </w:r>
          </w:p>
          <w:p>
            <w:pPr>
              <w:spacing w:line="360" w:lineRule="auto"/>
              <w:ind w:firstLine="480" w:firstLineChars="200"/>
              <w:jc w:val="left"/>
              <w:rPr>
                <w:rFonts w:hint="eastAsia" w:ascii="仿宋" w:hAnsi="仿宋" w:eastAsia="仿宋" w:cs="仿宋"/>
                <w:bCs/>
                <w:sz w:val="24"/>
              </w:rPr>
            </w:pPr>
          </w:p>
          <w:p>
            <w:pPr>
              <w:spacing w:line="360" w:lineRule="auto"/>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334"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时限要求</w:t>
            </w:r>
          </w:p>
        </w:tc>
        <w:tc>
          <w:tcPr>
            <w:tcW w:w="2244" w:type="dxa"/>
            <w:gridSpan w:val="5"/>
            <w:vAlign w:val="center"/>
          </w:tcPr>
          <w:p>
            <w:pPr>
              <w:jc w:val="center"/>
              <w:rPr>
                <w:rFonts w:ascii="仿宋_GB2312" w:hAnsi="仿宋_GB2312" w:eastAsia="仿宋_GB2312" w:cs="仿宋_GB2312"/>
                <w:bCs/>
                <w:sz w:val="28"/>
                <w:szCs w:val="28"/>
              </w:rPr>
            </w:pPr>
            <w:r>
              <w:rPr>
                <w:rFonts w:hint="eastAsia" w:ascii="仿宋" w:hAnsi="仿宋" w:eastAsia="仿宋" w:cs="仿宋"/>
                <w:bCs/>
                <w:sz w:val="24"/>
                <w:lang w:val="en-US" w:eastAsia="zh-CN"/>
              </w:rPr>
              <w:t>≤</w:t>
            </w:r>
            <w:r>
              <w:rPr>
                <w:rFonts w:hint="eastAsia" w:ascii="仿宋" w:hAnsi="仿宋" w:eastAsia="仿宋" w:cs="仿宋"/>
                <w:bCs/>
                <w:sz w:val="24"/>
              </w:rPr>
              <w:t>2年</w:t>
            </w:r>
          </w:p>
        </w:tc>
        <w:tc>
          <w:tcPr>
            <w:tcW w:w="2261" w:type="dxa"/>
            <w:gridSpan w:val="6"/>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项目投入总额</w:t>
            </w:r>
          </w:p>
        </w:tc>
        <w:tc>
          <w:tcPr>
            <w:tcW w:w="2137" w:type="dxa"/>
            <w:gridSpan w:val="2"/>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bookmarkStart w:id="0" w:name="_GoBack"/>
            <w:bookmarkEnd w:id="0"/>
            <w:r>
              <w:rPr>
                <w:rFonts w:hint="eastAsia" w:ascii="仿宋" w:hAnsi="仿宋" w:eastAsia="仿宋" w:cs="仿宋"/>
                <w:bCs/>
                <w:sz w:val="24"/>
                <w:lang w:val="en-US" w:eastAsia="zh-CN"/>
              </w:rPr>
              <w:t>100</w:t>
            </w:r>
            <w:r>
              <w:rPr>
                <w:rFonts w:hint="eastAsia" w:ascii="仿宋" w:hAnsi="仿宋" w:eastAsia="仿宋" w:cs="仿宋"/>
                <w:bCs/>
                <w:sz w:val="24"/>
              </w:rPr>
              <w:t>万元</w:t>
            </w:r>
          </w:p>
        </w:tc>
      </w:tr>
    </w:tbl>
    <w:p>
      <w:pPr>
        <w:spacing w:line="40" w:lineRule="exact"/>
      </w:pPr>
    </w:p>
    <w:sectPr>
      <w:pgSz w:w="11906" w:h="16838"/>
      <w:pgMar w:top="2098" w:right="1746" w:bottom="187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67986"/>
    <w:rsid w:val="0003563D"/>
    <w:rsid w:val="00441BFC"/>
    <w:rsid w:val="004A2B57"/>
    <w:rsid w:val="03530E41"/>
    <w:rsid w:val="0A482127"/>
    <w:rsid w:val="0B857E02"/>
    <w:rsid w:val="0B9659E6"/>
    <w:rsid w:val="0DE32291"/>
    <w:rsid w:val="0E71076A"/>
    <w:rsid w:val="0E950136"/>
    <w:rsid w:val="0EB508D6"/>
    <w:rsid w:val="0F30206A"/>
    <w:rsid w:val="11043F73"/>
    <w:rsid w:val="1131338E"/>
    <w:rsid w:val="122D4298"/>
    <w:rsid w:val="123B3FD4"/>
    <w:rsid w:val="13A67986"/>
    <w:rsid w:val="17310439"/>
    <w:rsid w:val="181755AD"/>
    <w:rsid w:val="1BF5356C"/>
    <w:rsid w:val="1CE82261"/>
    <w:rsid w:val="1E31747E"/>
    <w:rsid w:val="230A5A4C"/>
    <w:rsid w:val="244A4894"/>
    <w:rsid w:val="25984B54"/>
    <w:rsid w:val="26626147"/>
    <w:rsid w:val="293839D2"/>
    <w:rsid w:val="2A5142F3"/>
    <w:rsid w:val="2CA35236"/>
    <w:rsid w:val="2D6A75E6"/>
    <w:rsid w:val="2E77123F"/>
    <w:rsid w:val="2F2F4571"/>
    <w:rsid w:val="34EC67C8"/>
    <w:rsid w:val="36DE7892"/>
    <w:rsid w:val="390D2AEE"/>
    <w:rsid w:val="3B4446FE"/>
    <w:rsid w:val="3BDB0DE6"/>
    <w:rsid w:val="42655D31"/>
    <w:rsid w:val="42BF7DCF"/>
    <w:rsid w:val="43424A80"/>
    <w:rsid w:val="43E670B6"/>
    <w:rsid w:val="446C4CC2"/>
    <w:rsid w:val="44FE66DA"/>
    <w:rsid w:val="4525666B"/>
    <w:rsid w:val="49F667E7"/>
    <w:rsid w:val="4A4A5316"/>
    <w:rsid w:val="4A7C11B3"/>
    <w:rsid w:val="4D294F39"/>
    <w:rsid w:val="4E9E19AF"/>
    <w:rsid w:val="4F440BFD"/>
    <w:rsid w:val="50B46EB2"/>
    <w:rsid w:val="523D197E"/>
    <w:rsid w:val="54296AC6"/>
    <w:rsid w:val="58016D4F"/>
    <w:rsid w:val="58A95410"/>
    <w:rsid w:val="59881D4C"/>
    <w:rsid w:val="5B5E1CB3"/>
    <w:rsid w:val="61A638E4"/>
    <w:rsid w:val="63171155"/>
    <w:rsid w:val="6ACA1ED9"/>
    <w:rsid w:val="6CE366C4"/>
    <w:rsid w:val="6FB00FCC"/>
    <w:rsid w:val="72A2623E"/>
    <w:rsid w:val="73076DE2"/>
    <w:rsid w:val="73CB2A9F"/>
    <w:rsid w:val="75BD31E6"/>
    <w:rsid w:val="77F15AE4"/>
    <w:rsid w:val="78541586"/>
    <w:rsid w:val="786A681A"/>
    <w:rsid w:val="793A68B4"/>
    <w:rsid w:val="79F14266"/>
    <w:rsid w:val="7A237272"/>
    <w:rsid w:val="7B8323E7"/>
    <w:rsid w:val="7EE8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335</Words>
  <Characters>1916</Characters>
  <Lines>15</Lines>
  <Paragraphs>4</Paragraphs>
  <TotalTime>0</TotalTime>
  <ScaleCrop>false</ScaleCrop>
  <LinksUpToDate>false</LinksUpToDate>
  <CharactersWithSpaces>2247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2020-12-18T08:01:00Z</dcterms:created>
  <dc:creator>DELL</dc:creator>
  <cp:lastModifiedBy>DELL</cp:lastModifiedBy>
  <dcterms:modified xsi:type="dcterms:W3CDTF">2021-03-01T03:11:24Z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